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D6" w:rsidRDefault="00B910D6" w:rsidP="00B910D6">
      <w:pPr>
        <w:autoSpaceDE w:val="0"/>
        <w:autoSpaceDN w:val="0"/>
        <w:jc w:val="right"/>
        <w:rPr>
          <w:b/>
        </w:rPr>
      </w:pPr>
      <w:r w:rsidRPr="00212C38">
        <w:rPr>
          <w:b/>
        </w:rPr>
        <w:t>3.</w:t>
      </w:r>
      <w:r>
        <w:rPr>
          <w:rStyle w:val="Lbjegyzet-hivatkozs"/>
          <w:b/>
        </w:rPr>
        <w:footnoteReference w:id="1"/>
      </w:r>
      <w:r w:rsidRPr="00212C38">
        <w:rPr>
          <w:b/>
        </w:rPr>
        <w:t xml:space="preserve"> </w:t>
      </w:r>
      <w:r>
        <w:rPr>
          <w:rStyle w:val="Lbjegyzet-hivatkozs"/>
          <w:b/>
        </w:rPr>
        <w:footnoteReference w:id="2"/>
      </w:r>
      <w:r>
        <w:rPr>
          <w:rStyle w:val="Lbjegyzet-hivatkozs"/>
          <w:b/>
        </w:rPr>
        <w:footnoteReference w:id="3"/>
      </w:r>
      <w:r>
        <w:rPr>
          <w:rStyle w:val="Lbjegyzet-hivatkozs"/>
          <w:b/>
        </w:rPr>
        <w:footnoteReference w:id="4"/>
      </w:r>
      <w:r w:rsidRPr="00212C38">
        <w:rPr>
          <w:b/>
        </w:rPr>
        <w:t>számú melléklet</w:t>
      </w:r>
    </w:p>
    <w:p w:rsidR="00B910D6" w:rsidRDefault="00B910D6" w:rsidP="00B910D6">
      <w:pPr>
        <w:autoSpaceDE w:val="0"/>
        <w:autoSpaceDN w:val="0"/>
        <w:jc w:val="right"/>
        <w:rPr>
          <w:b/>
        </w:rPr>
      </w:pPr>
    </w:p>
    <w:p w:rsidR="00B910D6" w:rsidRPr="00212C38" w:rsidRDefault="00B910D6" w:rsidP="00B910D6">
      <w:pPr>
        <w:autoSpaceDE w:val="0"/>
        <w:autoSpaceDN w:val="0"/>
        <w:jc w:val="right"/>
        <w:rPr>
          <w:b/>
        </w:rPr>
      </w:pPr>
    </w:p>
    <w:p w:rsidR="00B910D6" w:rsidRPr="008A7525" w:rsidRDefault="00B910D6" w:rsidP="00B910D6">
      <w:pPr>
        <w:pStyle w:val="Style2"/>
        <w:widowControl/>
        <w:spacing w:before="29" w:line="240" w:lineRule="auto"/>
        <w:ind w:left="510" w:hanging="340"/>
        <w:jc w:val="left"/>
        <w:rPr>
          <w:rStyle w:val="FontStyle17"/>
          <w:b/>
        </w:rPr>
      </w:pPr>
      <w:r w:rsidRPr="008A7525">
        <w:rPr>
          <w:rStyle w:val="FontStyle17"/>
          <w:b/>
        </w:rPr>
        <w:t>1.) A temetői létesítmények, illetve az üzemeltető által biztosított szolgáltatások igénybevétel</w:t>
      </w:r>
      <w:r w:rsidRPr="008A7525">
        <w:rPr>
          <w:rStyle w:val="FontStyle17"/>
          <w:b/>
        </w:rPr>
        <w:t>é</w:t>
      </w:r>
      <w:r w:rsidRPr="008A7525">
        <w:rPr>
          <w:rStyle w:val="FontStyle17"/>
          <w:b/>
        </w:rPr>
        <w:t>ért a temetkezési szolgáltatók által fizetendő díjak:</w:t>
      </w:r>
    </w:p>
    <w:p w:rsidR="00B910D6" w:rsidRPr="008A7525" w:rsidRDefault="00B910D6" w:rsidP="00B910D6">
      <w:pPr>
        <w:pStyle w:val="Style2"/>
        <w:widowControl/>
        <w:spacing w:line="240" w:lineRule="auto"/>
        <w:ind w:left="510" w:hanging="340"/>
        <w:jc w:val="left"/>
        <w:rPr>
          <w:b/>
        </w:rPr>
      </w:pP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</w:r>
    </w:p>
    <w:p w:rsidR="00B910D6" w:rsidRPr="008A7525" w:rsidRDefault="00B910D6" w:rsidP="00B910D6">
      <w:pPr>
        <w:pStyle w:val="Style2"/>
        <w:widowControl/>
        <w:spacing w:line="240" w:lineRule="auto"/>
        <w:ind w:left="567"/>
        <w:jc w:val="left"/>
        <w:rPr>
          <w:b/>
        </w:rPr>
      </w:pPr>
      <w:r w:rsidRPr="008A7525">
        <w:rPr>
          <w:b/>
        </w:rPr>
        <w:t>Temetői létesítmények igénybevétele</w:t>
      </w:r>
      <w:r w:rsidRPr="008A7525">
        <w:rPr>
          <w:b/>
        </w:rPr>
        <w:tab/>
      </w:r>
      <w:r w:rsidRPr="008A7525">
        <w:rPr>
          <w:b/>
        </w:rPr>
        <w:tab/>
        <w:t>20.937 Ft</w:t>
      </w:r>
    </w:p>
    <w:p w:rsidR="00B910D6" w:rsidRPr="008A7525" w:rsidRDefault="00B910D6" w:rsidP="00B910D6">
      <w:pPr>
        <w:pStyle w:val="Style2"/>
        <w:widowControl/>
        <w:spacing w:line="240" w:lineRule="auto"/>
        <w:ind w:left="567"/>
        <w:jc w:val="left"/>
        <w:rPr>
          <w:b/>
        </w:rPr>
      </w:pPr>
      <w:r w:rsidRPr="008A7525">
        <w:rPr>
          <w:b/>
        </w:rPr>
        <w:t>Elhunyt hűtése (Ft/nap/fő</w:t>
      </w:r>
      <w:proofErr w:type="gramStart"/>
      <w:r w:rsidRPr="008A7525">
        <w:rPr>
          <w:b/>
        </w:rPr>
        <w:t>)</w:t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  <w:t xml:space="preserve">  </w:t>
      </w:r>
      <w:smartTag w:uri="urn:schemas-microsoft-com:office:smarttags" w:element="metricconverter">
        <w:smartTagPr>
          <w:attr w:name="ProductID" w:val="1.575 Ft"/>
        </w:smartTagPr>
        <w:r w:rsidRPr="008A7525">
          <w:rPr>
            <w:b/>
          </w:rPr>
          <w:t>1</w:t>
        </w:r>
        <w:proofErr w:type="gramEnd"/>
        <w:r w:rsidRPr="008A7525">
          <w:rPr>
            <w:b/>
          </w:rPr>
          <w:t>.575 Ft</w:t>
        </w:r>
      </w:smartTag>
    </w:p>
    <w:p w:rsidR="00B910D6" w:rsidRPr="008A7525" w:rsidRDefault="00B910D6" w:rsidP="00B910D6">
      <w:pPr>
        <w:pStyle w:val="Style2"/>
        <w:widowControl/>
        <w:spacing w:line="240" w:lineRule="auto"/>
        <w:ind w:left="567"/>
        <w:jc w:val="left"/>
        <w:rPr>
          <w:b/>
        </w:rPr>
      </w:pPr>
      <w:r>
        <w:rPr>
          <w:b/>
        </w:rPr>
        <w:t>S</w:t>
      </w:r>
      <w:r w:rsidRPr="008A7525">
        <w:rPr>
          <w:b/>
        </w:rPr>
        <w:t>írhelynyitás (sírásás, sírnyitás)</w:t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</w:r>
      <w:smartTag w:uri="urn:schemas-microsoft-com:office:smarttags" w:element="metricconverter">
        <w:smartTagPr>
          <w:attr w:name="ProductID" w:val="20.575 Ft"/>
        </w:smartTagPr>
        <w:r w:rsidRPr="008A7525">
          <w:rPr>
            <w:b/>
          </w:rPr>
          <w:t>20.575 Ft</w:t>
        </w:r>
      </w:smartTag>
    </w:p>
    <w:p w:rsidR="00B910D6" w:rsidRPr="0063048A" w:rsidRDefault="00B910D6" w:rsidP="00B910D6">
      <w:pPr>
        <w:pStyle w:val="Style2"/>
        <w:widowControl/>
        <w:spacing w:line="240" w:lineRule="auto"/>
        <w:ind w:left="567"/>
        <w:jc w:val="left"/>
        <w:rPr>
          <w:b/>
        </w:rPr>
      </w:pPr>
      <w:r w:rsidRPr="008A7525">
        <w:rPr>
          <w:b/>
        </w:rPr>
        <w:t>Sírásás, sírnyitás</w:t>
      </w:r>
      <w:r>
        <w:rPr>
          <w:b/>
        </w:rPr>
        <w:t xml:space="preserve"> mélyített sír esetén</w:t>
      </w:r>
      <w:r>
        <w:rPr>
          <w:b/>
        </w:rPr>
        <w:tab/>
      </w:r>
      <w:r>
        <w:rPr>
          <w:b/>
        </w:rPr>
        <w:tab/>
      </w:r>
      <w:r w:rsidRPr="0063048A">
        <w:rPr>
          <w:b/>
        </w:rPr>
        <w:t>24.000 Ft</w:t>
      </w:r>
    </w:p>
    <w:p w:rsidR="00B910D6" w:rsidRPr="008A7525" w:rsidRDefault="00B910D6" w:rsidP="00B910D6">
      <w:pPr>
        <w:pStyle w:val="Style2"/>
        <w:widowControl/>
        <w:spacing w:before="60" w:line="240" w:lineRule="auto"/>
        <w:ind w:left="567"/>
        <w:jc w:val="left"/>
        <w:rPr>
          <w:b/>
        </w:rPr>
      </w:pPr>
      <w:r w:rsidRPr="008A7525">
        <w:rPr>
          <w:b/>
        </w:rPr>
        <w:t>A temetőben erre a célra rendszeresített</w:t>
      </w:r>
    </w:p>
    <w:p w:rsidR="00B910D6" w:rsidRPr="008A7525" w:rsidRDefault="00B910D6" w:rsidP="00B910D6">
      <w:pPr>
        <w:pStyle w:val="Style2"/>
        <w:widowControl/>
        <w:spacing w:line="240" w:lineRule="auto"/>
        <w:ind w:firstLine="567"/>
        <w:jc w:val="left"/>
        <w:rPr>
          <w:b/>
        </w:rPr>
      </w:pPr>
      <w:proofErr w:type="gramStart"/>
      <w:r w:rsidRPr="008A7525">
        <w:rPr>
          <w:b/>
        </w:rPr>
        <w:t>szállító</w:t>
      </w:r>
      <w:proofErr w:type="gramEnd"/>
      <w:r w:rsidRPr="008A7525">
        <w:rPr>
          <w:b/>
        </w:rPr>
        <w:t xml:space="preserve"> járművön történő </w:t>
      </w:r>
      <w:proofErr w:type="spellStart"/>
      <w:r w:rsidRPr="008A7525">
        <w:rPr>
          <w:b/>
        </w:rPr>
        <w:t>halottszállítás</w:t>
      </w:r>
      <w:proofErr w:type="spellEnd"/>
      <w:r w:rsidRPr="008A7525">
        <w:rPr>
          <w:b/>
        </w:rPr>
        <w:t xml:space="preserve"> </w:t>
      </w:r>
      <w:r w:rsidRPr="008A7525">
        <w:rPr>
          <w:b/>
        </w:rPr>
        <w:tab/>
      </w:r>
      <w:r w:rsidRPr="008A7525">
        <w:rPr>
          <w:b/>
        </w:rPr>
        <w:tab/>
        <w:t xml:space="preserve">  </w:t>
      </w:r>
      <w:smartTag w:uri="urn:schemas-microsoft-com:office:smarttags" w:element="metricconverter">
        <w:smartTagPr>
          <w:attr w:name="ProductID" w:val="3.500 Ft"/>
        </w:smartTagPr>
        <w:r w:rsidRPr="008A7525">
          <w:rPr>
            <w:b/>
          </w:rPr>
          <w:t>3.500 Ft</w:t>
        </w:r>
      </w:smartTag>
    </w:p>
    <w:p w:rsidR="00B910D6" w:rsidRPr="008A7525" w:rsidRDefault="00B910D6" w:rsidP="00B910D6">
      <w:pPr>
        <w:pStyle w:val="Style2"/>
        <w:widowControl/>
        <w:spacing w:line="240" w:lineRule="auto"/>
        <w:ind w:left="567"/>
        <w:jc w:val="left"/>
        <w:rPr>
          <w:b/>
        </w:rPr>
      </w:pPr>
      <w:proofErr w:type="gramStart"/>
      <w:r w:rsidRPr="008A7525">
        <w:rPr>
          <w:b/>
        </w:rPr>
        <w:t>Ravatalozás</w:t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  <w:t xml:space="preserve">  </w:t>
      </w:r>
      <w:smartTag w:uri="urn:schemas-microsoft-com:office:smarttags" w:element="metricconverter">
        <w:smartTagPr>
          <w:attr w:name="ProductID" w:val="7.900 Ft"/>
        </w:smartTagPr>
        <w:r w:rsidRPr="008A7525">
          <w:rPr>
            <w:b/>
          </w:rPr>
          <w:t>7</w:t>
        </w:r>
        <w:proofErr w:type="gramEnd"/>
        <w:r w:rsidRPr="008A7525">
          <w:rPr>
            <w:b/>
          </w:rPr>
          <w:t>.900 Ft</w:t>
        </w:r>
      </w:smartTag>
    </w:p>
    <w:p w:rsidR="00B910D6" w:rsidRPr="008A7525" w:rsidRDefault="00B910D6" w:rsidP="00B910D6">
      <w:pPr>
        <w:pStyle w:val="Style2"/>
        <w:widowControl/>
        <w:spacing w:line="240" w:lineRule="auto"/>
        <w:ind w:left="567"/>
        <w:jc w:val="left"/>
        <w:rPr>
          <w:b/>
        </w:rPr>
      </w:pPr>
      <w:proofErr w:type="spellStart"/>
      <w:proofErr w:type="gramStart"/>
      <w:r w:rsidRPr="008A7525">
        <w:rPr>
          <w:b/>
        </w:rPr>
        <w:t>Sírbahelyezés</w:t>
      </w:r>
      <w:proofErr w:type="spellEnd"/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  <w:t xml:space="preserve">  </w:t>
      </w:r>
      <w:r>
        <w:rPr>
          <w:b/>
        </w:rPr>
        <w:tab/>
        <w:t xml:space="preserve">  </w:t>
      </w:r>
      <w:smartTag w:uri="urn:schemas-microsoft-com:office:smarttags" w:element="metricconverter">
        <w:smartTagPr>
          <w:attr w:name="ProductID" w:val="2.000 Ft"/>
        </w:smartTagPr>
        <w:r w:rsidRPr="008A7525">
          <w:rPr>
            <w:b/>
          </w:rPr>
          <w:t>2</w:t>
        </w:r>
        <w:proofErr w:type="gramEnd"/>
        <w:r w:rsidRPr="008A7525">
          <w:rPr>
            <w:b/>
          </w:rPr>
          <w:t>.000 Ft</w:t>
        </w:r>
      </w:smartTag>
    </w:p>
    <w:p w:rsidR="00B910D6" w:rsidRPr="008A7525" w:rsidRDefault="00B910D6" w:rsidP="00B910D6">
      <w:pPr>
        <w:pStyle w:val="Style2"/>
        <w:widowControl/>
        <w:spacing w:line="240" w:lineRule="auto"/>
        <w:ind w:firstLine="567"/>
        <w:jc w:val="left"/>
        <w:rPr>
          <w:b/>
        </w:rPr>
      </w:pPr>
      <w:r w:rsidRPr="008A7525">
        <w:rPr>
          <w:b/>
        </w:rPr>
        <w:t xml:space="preserve">Visszahantolás </w:t>
      </w:r>
      <w:proofErr w:type="gramStart"/>
      <w:r w:rsidRPr="008A7525">
        <w:rPr>
          <w:b/>
        </w:rPr>
        <w:t>normál</w:t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  <w:t xml:space="preserve">  </w:t>
      </w:r>
      <w:smartTag w:uri="urn:schemas-microsoft-com:office:smarttags" w:element="metricconverter">
        <w:smartTagPr>
          <w:attr w:name="ProductID" w:val="5.555 Ft"/>
        </w:smartTagPr>
        <w:r w:rsidRPr="008A7525">
          <w:rPr>
            <w:b/>
          </w:rPr>
          <w:t>5</w:t>
        </w:r>
        <w:proofErr w:type="gramEnd"/>
        <w:r w:rsidRPr="008A7525">
          <w:rPr>
            <w:b/>
          </w:rPr>
          <w:t>.555 Ft</w:t>
        </w:r>
      </w:smartTag>
    </w:p>
    <w:p w:rsidR="00B910D6" w:rsidRPr="008A7525" w:rsidRDefault="00B910D6" w:rsidP="00B910D6">
      <w:pPr>
        <w:pStyle w:val="Style2"/>
        <w:widowControl/>
        <w:spacing w:line="240" w:lineRule="auto"/>
        <w:ind w:firstLine="567"/>
        <w:jc w:val="left"/>
        <w:rPr>
          <w:b/>
        </w:rPr>
      </w:pPr>
      <w:r w:rsidRPr="008A7525">
        <w:rPr>
          <w:b/>
        </w:rPr>
        <w:t xml:space="preserve">Visszahantolás </w:t>
      </w:r>
      <w:proofErr w:type="gramStart"/>
      <w:r w:rsidRPr="008A7525">
        <w:rPr>
          <w:b/>
        </w:rPr>
        <w:t>mély</w:t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  <w:t xml:space="preserve">  </w:t>
      </w:r>
      <w:smartTag w:uri="urn:schemas-microsoft-com:office:smarttags" w:element="metricconverter">
        <w:smartTagPr>
          <w:attr w:name="ProductID" w:val="7.655 Ft"/>
        </w:smartTagPr>
        <w:r w:rsidRPr="008A7525">
          <w:rPr>
            <w:b/>
          </w:rPr>
          <w:t>7</w:t>
        </w:r>
        <w:proofErr w:type="gramEnd"/>
        <w:r w:rsidRPr="008A7525">
          <w:rPr>
            <w:b/>
          </w:rPr>
          <w:t>.655 Ft</w:t>
        </w:r>
      </w:smartTag>
    </w:p>
    <w:p w:rsidR="00B910D6" w:rsidRPr="008A7525" w:rsidRDefault="00B910D6" w:rsidP="00B910D6">
      <w:pPr>
        <w:pStyle w:val="Style2"/>
        <w:widowControl/>
        <w:spacing w:line="240" w:lineRule="auto"/>
        <w:ind w:firstLine="567"/>
        <w:jc w:val="left"/>
        <w:rPr>
          <w:b/>
        </w:rPr>
      </w:pPr>
      <w:r w:rsidRPr="008A7525">
        <w:rPr>
          <w:b/>
        </w:rPr>
        <w:t xml:space="preserve">Gyermeksírhely </w:t>
      </w:r>
      <w:proofErr w:type="gramStart"/>
      <w:r w:rsidRPr="008A7525">
        <w:rPr>
          <w:b/>
        </w:rPr>
        <w:t>ásása</w:t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  <w:t xml:space="preserve">  </w:t>
      </w:r>
      <w:r>
        <w:rPr>
          <w:b/>
        </w:rPr>
        <w:tab/>
        <w:t xml:space="preserve">  </w:t>
      </w:r>
      <w:smartTag w:uri="urn:schemas-microsoft-com:office:smarttags" w:element="metricconverter">
        <w:smartTagPr>
          <w:attr w:name="ProductID" w:val="4.400 Ft"/>
        </w:smartTagPr>
        <w:r w:rsidRPr="008A7525">
          <w:rPr>
            <w:b/>
          </w:rPr>
          <w:t>4</w:t>
        </w:r>
        <w:proofErr w:type="gramEnd"/>
        <w:r w:rsidRPr="008A7525">
          <w:rPr>
            <w:b/>
          </w:rPr>
          <w:t>.400 Ft</w:t>
        </w:r>
      </w:smartTag>
    </w:p>
    <w:p w:rsidR="00B910D6" w:rsidRDefault="00B910D6" w:rsidP="00B910D6">
      <w:pPr>
        <w:pStyle w:val="Style2"/>
        <w:widowControl/>
        <w:spacing w:line="240" w:lineRule="auto"/>
        <w:ind w:firstLine="567"/>
        <w:jc w:val="left"/>
        <w:rPr>
          <w:b/>
        </w:rPr>
      </w:pPr>
      <w:r w:rsidRPr="008A7525">
        <w:rPr>
          <w:b/>
        </w:rPr>
        <w:t xml:space="preserve">Gyermeksírhely </w:t>
      </w:r>
      <w:proofErr w:type="gramStart"/>
      <w:r w:rsidRPr="008A7525">
        <w:rPr>
          <w:b/>
        </w:rPr>
        <w:t>hantolása</w:t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  <w:t xml:space="preserve">  2</w:t>
      </w:r>
      <w:proofErr w:type="gramEnd"/>
      <w:r w:rsidRPr="008A7525">
        <w:rPr>
          <w:b/>
        </w:rPr>
        <w:t>.000 Ft</w:t>
      </w:r>
    </w:p>
    <w:p w:rsidR="00B910D6" w:rsidRPr="008A7525" w:rsidRDefault="00B910D6" w:rsidP="00B910D6">
      <w:pPr>
        <w:pStyle w:val="Style2"/>
        <w:widowControl/>
        <w:spacing w:line="240" w:lineRule="auto"/>
        <w:ind w:firstLine="567"/>
        <w:jc w:val="left"/>
        <w:rPr>
          <w:b/>
        </w:rPr>
      </w:pPr>
      <w:proofErr w:type="gramStart"/>
      <w:r w:rsidRPr="008A7525">
        <w:rPr>
          <w:b/>
        </w:rPr>
        <w:t>Exhumálás</w:t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  <w:t xml:space="preserve">  </w:t>
      </w:r>
      <w:smartTag w:uri="urn:schemas-microsoft-com:office:smarttags" w:element="metricconverter">
        <w:smartTagPr>
          <w:attr w:name="ProductID" w:val="8.000 Ft"/>
        </w:smartTagPr>
        <w:r w:rsidRPr="008A7525">
          <w:rPr>
            <w:b/>
          </w:rPr>
          <w:t>8</w:t>
        </w:r>
        <w:proofErr w:type="gramEnd"/>
        <w:r w:rsidRPr="008A7525">
          <w:rPr>
            <w:b/>
          </w:rPr>
          <w:t>.000 Ft</w:t>
        </w:r>
      </w:smartTag>
    </w:p>
    <w:p w:rsidR="00B910D6" w:rsidRPr="008A7525" w:rsidRDefault="00B910D6" w:rsidP="00B910D6">
      <w:pPr>
        <w:pStyle w:val="Style2"/>
        <w:widowControl/>
        <w:spacing w:line="240" w:lineRule="auto"/>
        <w:ind w:left="567"/>
        <w:jc w:val="left"/>
        <w:rPr>
          <w:b/>
        </w:rPr>
      </w:pPr>
      <w:proofErr w:type="gramStart"/>
      <w:r w:rsidRPr="008A7525">
        <w:rPr>
          <w:b/>
        </w:rPr>
        <w:t>Újratemetés</w:t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  <w:t xml:space="preserve">      -</w:t>
      </w:r>
      <w:proofErr w:type="gramEnd"/>
      <w:r w:rsidRPr="008A7525">
        <w:rPr>
          <w:b/>
        </w:rPr>
        <w:t>--</w:t>
      </w:r>
    </w:p>
    <w:p w:rsidR="00B910D6" w:rsidRPr="008A7525" w:rsidRDefault="00B910D6" w:rsidP="00B910D6">
      <w:pPr>
        <w:pStyle w:val="Style2"/>
        <w:widowControl/>
        <w:spacing w:line="240" w:lineRule="auto"/>
        <w:ind w:left="567"/>
        <w:jc w:val="left"/>
        <w:rPr>
          <w:b/>
        </w:rPr>
      </w:pPr>
      <w:r w:rsidRPr="008A7525">
        <w:rPr>
          <w:b/>
        </w:rPr>
        <w:t xml:space="preserve">Urnasírhely nyitás </w:t>
      </w:r>
      <w:proofErr w:type="gramStart"/>
      <w:r w:rsidRPr="00D9320D">
        <w:rPr>
          <w:b/>
        </w:rPr>
        <w:t>normál</w:t>
      </w:r>
      <w:r w:rsidRPr="005045A8">
        <w:rPr>
          <w:b/>
          <w:color w:val="0000FF"/>
        </w:rPr>
        <w:tab/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  <w:t xml:space="preserve">  </w:t>
      </w:r>
      <w:smartTag w:uri="urn:schemas-microsoft-com:office:smarttags" w:element="metricconverter">
        <w:smartTagPr>
          <w:attr w:name="ProductID" w:val="5.560 Ft"/>
        </w:smartTagPr>
        <w:r w:rsidRPr="008A7525">
          <w:rPr>
            <w:b/>
          </w:rPr>
          <w:t>5</w:t>
        </w:r>
        <w:proofErr w:type="gramEnd"/>
        <w:r w:rsidRPr="008A7525">
          <w:rPr>
            <w:b/>
          </w:rPr>
          <w:t>.560 Ft</w:t>
        </w:r>
      </w:smartTag>
    </w:p>
    <w:p w:rsidR="00B910D6" w:rsidRPr="008A7525" w:rsidRDefault="00B910D6" w:rsidP="00B910D6">
      <w:pPr>
        <w:pStyle w:val="Style2"/>
        <w:widowControl/>
        <w:spacing w:line="240" w:lineRule="auto"/>
        <w:ind w:left="567"/>
        <w:jc w:val="left"/>
        <w:rPr>
          <w:b/>
        </w:rPr>
      </w:pPr>
      <w:r w:rsidRPr="008A7525">
        <w:rPr>
          <w:b/>
        </w:rPr>
        <w:t xml:space="preserve">Urnasírhely ásás </w:t>
      </w:r>
      <w:proofErr w:type="gramStart"/>
      <w:r w:rsidRPr="008A7525">
        <w:rPr>
          <w:b/>
        </w:rPr>
        <w:t>sírban</w:t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</w:r>
      <w:r w:rsidRPr="008A7525">
        <w:rPr>
          <w:b/>
        </w:rPr>
        <w:tab/>
        <w:t xml:space="preserve">  </w:t>
      </w:r>
      <w:smartTag w:uri="urn:schemas-microsoft-com:office:smarttags" w:element="metricconverter">
        <w:smartTagPr>
          <w:attr w:name="ProductID" w:val="7.795 Ft"/>
        </w:smartTagPr>
        <w:r w:rsidRPr="008A7525">
          <w:rPr>
            <w:b/>
          </w:rPr>
          <w:t>7</w:t>
        </w:r>
        <w:proofErr w:type="gramEnd"/>
        <w:r w:rsidRPr="008A7525">
          <w:rPr>
            <w:b/>
          </w:rPr>
          <w:t>.795 Ft</w:t>
        </w:r>
      </w:smartTag>
    </w:p>
    <w:p w:rsidR="00B910D6" w:rsidRPr="008A7525" w:rsidRDefault="00B910D6" w:rsidP="00B910D6">
      <w:pPr>
        <w:pStyle w:val="Style2"/>
        <w:widowControl/>
        <w:spacing w:line="240" w:lineRule="auto"/>
        <w:ind w:left="567"/>
        <w:jc w:val="left"/>
        <w:rPr>
          <w:b/>
        </w:rPr>
      </w:pPr>
      <w:r w:rsidRPr="008A7525">
        <w:rPr>
          <w:b/>
        </w:rPr>
        <w:t xml:space="preserve">Urna elhelyezése (kriptában, </w:t>
      </w:r>
      <w:proofErr w:type="gramStart"/>
      <w:r w:rsidRPr="008A7525">
        <w:rPr>
          <w:b/>
        </w:rPr>
        <w:t>sírban</w:t>
      </w:r>
      <w:proofErr w:type="gramEnd"/>
      <w:r w:rsidRPr="008A7525">
        <w:rPr>
          <w:b/>
        </w:rPr>
        <w:t xml:space="preserve"> urnafalban)</w:t>
      </w:r>
      <w:r w:rsidRPr="008A7525">
        <w:rPr>
          <w:b/>
        </w:rPr>
        <w:tab/>
        <w:t xml:space="preserve">  </w:t>
      </w:r>
      <w:smartTag w:uri="urn:schemas-microsoft-com:office:smarttags" w:element="metricconverter">
        <w:smartTagPr>
          <w:attr w:name="ProductID" w:val="5.560 Ft"/>
        </w:smartTagPr>
        <w:r w:rsidRPr="008A7525">
          <w:rPr>
            <w:b/>
          </w:rPr>
          <w:t>5.560 Ft</w:t>
        </w:r>
      </w:smartTag>
    </w:p>
    <w:p w:rsidR="00B910D6" w:rsidRPr="008A7525" w:rsidRDefault="00B910D6" w:rsidP="00B910D6">
      <w:pPr>
        <w:pStyle w:val="Style2"/>
        <w:widowControl/>
        <w:spacing w:line="240" w:lineRule="auto"/>
        <w:ind w:left="567"/>
        <w:jc w:val="left"/>
        <w:rPr>
          <w:b/>
        </w:rPr>
      </w:pPr>
    </w:p>
    <w:p w:rsidR="00B910D6" w:rsidRPr="008A7525" w:rsidRDefault="00B910D6" w:rsidP="00B910D6">
      <w:pPr>
        <w:pStyle w:val="Style2"/>
        <w:widowControl/>
        <w:spacing w:line="240" w:lineRule="auto"/>
        <w:ind w:left="510" w:hanging="340"/>
        <w:jc w:val="left"/>
        <w:rPr>
          <w:b/>
        </w:rPr>
      </w:pPr>
    </w:p>
    <w:p w:rsidR="00B910D6" w:rsidRPr="008A7525" w:rsidRDefault="00B910D6" w:rsidP="00B910D6">
      <w:pPr>
        <w:pStyle w:val="Style2"/>
        <w:widowControl/>
        <w:spacing w:before="34" w:line="240" w:lineRule="auto"/>
        <w:ind w:left="510" w:hanging="340"/>
        <w:jc w:val="left"/>
        <w:rPr>
          <w:rStyle w:val="FontStyle17"/>
          <w:b/>
        </w:rPr>
      </w:pPr>
      <w:r w:rsidRPr="008A7525">
        <w:rPr>
          <w:rStyle w:val="FontStyle17"/>
          <w:b/>
        </w:rPr>
        <w:t>2.) A temetőkben – a temetkezési szolgáltatók kivételével – a temetőben vállalkozásszerűen munkát végzők által fizetendő temető-fenntartási hozzájárulás díja</w:t>
      </w:r>
      <w:proofErr w:type="gramStart"/>
      <w:r w:rsidRPr="008A7525">
        <w:rPr>
          <w:rStyle w:val="FontStyle17"/>
          <w:b/>
        </w:rPr>
        <w:t>:  1</w:t>
      </w:r>
      <w:proofErr w:type="gramEnd"/>
      <w:r w:rsidRPr="008A7525">
        <w:rPr>
          <w:rStyle w:val="FontStyle17"/>
          <w:b/>
        </w:rPr>
        <w:t>.181 Ft/alkalom</w:t>
      </w:r>
    </w:p>
    <w:p w:rsidR="00B910D6" w:rsidRPr="00B21B69" w:rsidRDefault="00B910D6" w:rsidP="00B910D6">
      <w:pPr>
        <w:pStyle w:val="Style2"/>
        <w:widowControl/>
        <w:spacing w:before="34" w:line="240" w:lineRule="auto"/>
        <w:ind w:left="510" w:hanging="340"/>
        <w:jc w:val="left"/>
        <w:rPr>
          <w:rStyle w:val="FontStyle17"/>
          <w:b/>
          <w:i/>
        </w:rPr>
      </w:pPr>
      <w:r>
        <w:rPr>
          <w:rStyle w:val="FontStyle17"/>
          <w:b/>
        </w:rPr>
        <w:tab/>
      </w:r>
    </w:p>
    <w:p w:rsidR="00B910D6" w:rsidRPr="009F12DD" w:rsidRDefault="00B910D6" w:rsidP="00B910D6">
      <w:pPr>
        <w:pStyle w:val="Style2"/>
        <w:widowControl/>
        <w:spacing w:before="58" w:line="240" w:lineRule="auto"/>
        <w:ind w:left="510" w:hanging="340"/>
        <w:jc w:val="left"/>
        <w:rPr>
          <w:rStyle w:val="FontStyle17"/>
          <w:b/>
        </w:rPr>
      </w:pPr>
      <w:r w:rsidRPr="009F12DD">
        <w:rPr>
          <w:rStyle w:val="FontStyle17"/>
          <w:b/>
        </w:rPr>
        <w:t xml:space="preserve">A díjak az általános forgalmi adót </w:t>
      </w:r>
      <w:r w:rsidRPr="00722924">
        <w:rPr>
          <w:rStyle w:val="FontStyle17"/>
          <w:b/>
        </w:rPr>
        <w:t>nem tartalmazzák.</w:t>
      </w:r>
      <w:r>
        <w:rPr>
          <w:rStyle w:val="FontStyle17"/>
          <w:b/>
          <w:u w:val="single"/>
        </w:rPr>
        <w:t xml:space="preserve"> </w:t>
      </w:r>
    </w:p>
    <w:p w:rsidR="00B910D6" w:rsidRDefault="00B910D6" w:rsidP="00B910D6">
      <w:pPr>
        <w:pStyle w:val="Style2"/>
        <w:widowControl/>
        <w:spacing w:before="58" w:line="240" w:lineRule="auto"/>
        <w:ind w:left="510" w:hanging="340"/>
        <w:jc w:val="left"/>
        <w:rPr>
          <w:rStyle w:val="FontStyle17"/>
          <w:color w:val="0000FF"/>
        </w:rPr>
      </w:pPr>
    </w:p>
    <w:p w:rsidR="00B910D6" w:rsidRDefault="00B910D6" w:rsidP="00B910D6">
      <w:pPr>
        <w:pStyle w:val="Style2"/>
        <w:widowControl/>
        <w:spacing w:line="240" w:lineRule="auto"/>
        <w:ind w:left="720" w:hanging="330"/>
        <w:jc w:val="left"/>
        <w:rPr>
          <w:b/>
          <w:color w:val="000000"/>
        </w:rPr>
      </w:pPr>
    </w:p>
    <w:p w:rsidR="00B910D6" w:rsidRDefault="00B910D6" w:rsidP="00B910D6">
      <w:pPr>
        <w:pStyle w:val="Style2"/>
        <w:widowControl/>
        <w:spacing w:line="240" w:lineRule="auto"/>
        <w:ind w:left="720" w:hanging="330"/>
        <w:jc w:val="left"/>
        <w:rPr>
          <w:b/>
          <w:color w:val="000000"/>
        </w:rPr>
      </w:pPr>
    </w:p>
    <w:p w:rsidR="00B910D6" w:rsidRPr="00BD3519" w:rsidRDefault="00B910D6" w:rsidP="00B910D6">
      <w:pPr>
        <w:pStyle w:val="Style2"/>
        <w:widowControl/>
        <w:spacing w:line="240" w:lineRule="auto"/>
        <w:ind w:left="720" w:hanging="330"/>
        <w:jc w:val="left"/>
        <w:rPr>
          <w:b/>
          <w:color w:val="000000"/>
        </w:rPr>
      </w:pPr>
    </w:p>
    <w:p w:rsidR="00B910D6" w:rsidRDefault="00B910D6" w:rsidP="00B910D6">
      <w:pPr>
        <w:pStyle w:val="Style2"/>
        <w:widowControl/>
        <w:spacing w:before="58" w:line="240" w:lineRule="auto"/>
        <w:ind w:left="510" w:hanging="340"/>
        <w:jc w:val="left"/>
        <w:rPr>
          <w:rStyle w:val="FontStyle17"/>
          <w:b/>
          <w:u w:val="single"/>
        </w:rPr>
      </w:pPr>
    </w:p>
    <w:p w:rsidR="00B910D6" w:rsidRDefault="00B910D6" w:rsidP="00B910D6">
      <w:pPr>
        <w:jc w:val="both"/>
      </w:pPr>
    </w:p>
    <w:p w:rsidR="00B910D6" w:rsidRDefault="00B910D6" w:rsidP="00B910D6">
      <w:pPr>
        <w:jc w:val="both"/>
      </w:pPr>
    </w:p>
    <w:p w:rsidR="00B910D6" w:rsidRDefault="00B910D6" w:rsidP="00B910D6">
      <w:pPr>
        <w:jc w:val="both"/>
      </w:pPr>
    </w:p>
    <w:p w:rsidR="00261921" w:rsidRDefault="00261921"/>
    <w:sectPr w:rsidR="00261921" w:rsidSect="006E01BD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C94" w:rsidRDefault="00373C94" w:rsidP="00B910D6">
      <w:r>
        <w:separator/>
      </w:r>
    </w:p>
  </w:endnote>
  <w:endnote w:type="continuationSeparator" w:id="0">
    <w:p w:rsidR="00373C94" w:rsidRDefault="00373C94" w:rsidP="00B91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68" w:rsidRDefault="00373C94" w:rsidP="00BF00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92B68" w:rsidRDefault="00373C94" w:rsidP="00F93D0F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68" w:rsidRDefault="00373C94" w:rsidP="00BF001E">
    <w:pPr>
      <w:pStyle w:val="llb"/>
      <w:framePr w:wrap="around" w:vAnchor="text" w:hAnchor="margin" w:xAlign="right" w:y="1"/>
      <w:rPr>
        <w:rStyle w:val="Oldalszm"/>
      </w:rPr>
    </w:pPr>
  </w:p>
  <w:p w:rsidR="00192B68" w:rsidRDefault="00373C94" w:rsidP="00F93D0F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C94" w:rsidRDefault="00373C94" w:rsidP="00B910D6">
      <w:r>
        <w:separator/>
      </w:r>
    </w:p>
  </w:footnote>
  <w:footnote w:type="continuationSeparator" w:id="0">
    <w:p w:rsidR="00373C94" w:rsidRDefault="00373C94" w:rsidP="00B910D6">
      <w:r>
        <w:continuationSeparator/>
      </w:r>
    </w:p>
  </w:footnote>
  <w:footnote w:id="1">
    <w:p w:rsidR="00B910D6" w:rsidRDefault="00B910D6" w:rsidP="00B910D6">
      <w:pPr>
        <w:pStyle w:val="Lbjegyzetszveg"/>
      </w:pPr>
      <w:r>
        <w:rPr>
          <w:rStyle w:val="Lbjegyzet-hivatkozs"/>
        </w:rPr>
        <w:footnoteRef/>
      </w:r>
      <w:r>
        <w:t xml:space="preserve"> Módosította a 14/2013.(XII.6.) </w:t>
      </w:r>
      <w:proofErr w:type="spellStart"/>
      <w:r>
        <w:t>Ör</w:t>
      </w:r>
      <w:proofErr w:type="spellEnd"/>
      <w:r>
        <w:t>. 14.§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Hatályos: 2014. január 1-től.</w:t>
      </w:r>
    </w:p>
  </w:footnote>
  <w:footnote w:id="2">
    <w:p w:rsidR="00B910D6" w:rsidRDefault="00B910D6" w:rsidP="00B910D6">
      <w:pPr>
        <w:pStyle w:val="Lbjegyzetszveg"/>
      </w:pPr>
      <w:r>
        <w:rPr>
          <w:rStyle w:val="Lbjegyzet-hivatkozs"/>
        </w:rPr>
        <w:footnoteRef/>
      </w:r>
      <w:r>
        <w:t xml:space="preserve"> Módosította a 14/2013.(XII.6.) </w:t>
      </w:r>
      <w:proofErr w:type="spellStart"/>
      <w:r>
        <w:t>Ör</w:t>
      </w:r>
      <w:proofErr w:type="spellEnd"/>
      <w:r>
        <w:t>. 15.§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Hatályos: 2014. január 1-től.</w:t>
      </w:r>
    </w:p>
  </w:footnote>
  <w:footnote w:id="3">
    <w:p w:rsidR="00B910D6" w:rsidRDefault="00B910D6" w:rsidP="00B910D6">
      <w:pPr>
        <w:pStyle w:val="Lbjegyzetszveg"/>
      </w:pPr>
      <w:r>
        <w:rPr>
          <w:rStyle w:val="Lbjegyzet-hivatkozs"/>
        </w:rPr>
        <w:footnoteRef/>
      </w:r>
      <w:r>
        <w:t xml:space="preserve"> Módosította a 14/2013.(XII.6.) </w:t>
      </w:r>
      <w:proofErr w:type="spellStart"/>
      <w:r>
        <w:t>Ör</w:t>
      </w:r>
      <w:proofErr w:type="spellEnd"/>
      <w:r>
        <w:t>. 16.§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Hatályos: 2014. január 1-től.</w:t>
      </w:r>
    </w:p>
  </w:footnote>
  <w:footnote w:id="4">
    <w:p w:rsidR="00B910D6" w:rsidRDefault="00B910D6" w:rsidP="00B910D6">
      <w:pPr>
        <w:pStyle w:val="Lbjegyzetszveg"/>
      </w:pPr>
      <w:r>
        <w:rPr>
          <w:rStyle w:val="Lbjegyzet-hivatkozs"/>
        </w:rPr>
        <w:footnoteRef/>
      </w:r>
      <w:r>
        <w:t xml:space="preserve"> Módosította a 4/2016.(IV.05.) </w:t>
      </w:r>
      <w:proofErr w:type="spellStart"/>
      <w:r>
        <w:t>Ör</w:t>
      </w:r>
      <w:proofErr w:type="spellEnd"/>
      <w:r>
        <w:t>. 2.§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Hatályos: 2016. április 06-tól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0D6"/>
    <w:rsid w:val="00261921"/>
    <w:rsid w:val="00317633"/>
    <w:rsid w:val="00373C94"/>
    <w:rsid w:val="00416B78"/>
    <w:rsid w:val="004D1BC1"/>
    <w:rsid w:val="004D3946"/>
    <w:rsid w:val="0054100A"/>
    <w:rsid w:val="00680B29"/>
    <w:rsid w:val="006F739D"/>
    <w:rsid w:val="00765E8F"/>
    <w:rsid w:val="007B62ED"/>
    <w:rsid w:val="00B57276"/>
    <w:rsid w:val="00B910D6"/>
    <w:rsid w:val="00D6550B"/>
    <w:rsid w:val="00F21399"/>
    <w:rsid w:val="00F40E73"/>
    <w:rsid w:val="00F7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10D6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D6550B"/>
    <w:pPr>
      <w:keepNext/>
      <w:outlineLvl w:val="2"/>
    </w:pPr>
    <w:rPr>
      <w:rFonts w:ascii="Tahoma" w:hAnsi="Tahoma"/>
      <w:b/>
      <w:szCs w:val="20"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99"/>
    <w:qFormat/>
    <w:rsid w:val="00D65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rsid w:val="00B910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910D6"/>
    <w:rPr>
      <w:sz w:val="24"/>
      <w:szCs w:val="24"/>
    </w:rPr>
  </w:style>
  <w:style w:type="character" w:styleId="Oldalszm">
    <w:name w:val="page number"/>
    <w:basedOn w:val="Bekezdsalapbettpusa"/>
    <w:rsid w:val="00B910D6"/>
  </w:style>
  <w:style w:type="paragraph" w:styleId="Lbjegyzetszveg">
    <w:name w:val="footnote text"/>
    <w:basedOn w:val="Norml"/>
    <w:link w:val="LbjegyzetszvegChar"/>
    <w:semiHidden/>
    <w:rsid w:val="00B910D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10D6"/>
  </w:style>
  <w:style w:type="character" w:styleId="Lbjegyzet-hivatkozs">
    <w:name w:val="footnote reference"/>
    <w:basedOn w:val="Bekezdsalapbettpusa"/>
    <w:semiHidden/>
    <w:rsid w:val="00B910D6"/>
    <w:rPr>
      <w:vertAlign w:val="superscript"/>
    </w:rPr>
  </w:style>
  <w:style w:type="paragraph" w:customStyle="1" w:styleId="Style2">
    <w:name w:val="Style2"/>
    <w:basedOn w:val="Norml"/>
    <w:rsid w:val="00B910D6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17">
    <w:name w:val="Font Style17"/>
    <w:rsid w:val="00B910D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1</cp:revision>
  <dcterms:created xsi:type="dcterms:W3CDTF">2016-04-14T13:29:00Z</dcterms:created>
  <dcterms:modified xsi:type="dcterms:W3CDTF">2016-04-14T13:29:00Z</dcterms:modified>
</cp:coreProperties>
</file>