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CD0" w:rsidRPr="00210CD0" w:rsidRDefault="00210CD0" w:rsidP="00210CD0">
      <w:pPr>
        <w:spacing w:after="200" w:line="276" w:lineRule="auto"/>
        <w:ind w:left="360"/>
        <w:contextualSpacing w:val="0"/>
        <w:jc w:val="right"/>
        <w:rPr>
          <w:rFonts w:eastAsia="Calibri" w:cs="Times New Roman"/>
          <w:i/>
        </w:rPr>
      </w:pPr>
      <w:r w:rsidRPr="00210CD0">
        <w:rPr>
          <w:rFonts w:ascii="Book Antiqua" w:eastAsia="Calibri" w:hAnsi="Book Antiqua" w:cs="Times New Roman"/>
          <w:b/>
          <w:color w:val="000000"/>
          <w:sz w:val="28"/>
          <w:szCs w:val="28"/>
          <w:vertAlign w:val="superscript"/>
          <w:lang w:val="sk-SK"/>
        </w:rPr>
        <w:t>6</w:t>
      </w:r>
      <w:r w:rsidRPr="00210CD0">
        <w:rPr>
          <w:rFonts w:eastAsia="Calibri" w:cs="Times New Roman"/>
          <w:i/>
        </w:rPr>
        <w:t xml:space="preserve">1. </w:t>
      </w:r>
      <w:proofErr w:type="gramStart"/>
      <w:r w:rsidRPr="00210CD0">
        <w:rPr>
          <w:rFonts w:eastAsia="Calibri" w:cs="Times New Roman"/>
          <w:i/>
        </w:rPr>
        <w:t>függelék</w:t>
      </w:r>
      <w:proofErr w:type="gramEnd"/>
      <w:r w:rsidRPr="00210CD0">
        <w:rPr>
          <w:rFonts w:eastAsia="Calibri" w:cs="Times New Roman"/>
          <w:i/>
        </w:rPr>
        <w:t xml:space="preserve"> a 31/2015. (XI.30.) önkormányzati rendelethez</w:t>
      </w:r>
    </w:p>
    <w:p w:rsidR="00210CD0" w:rsidRPr="00210CD0" w:rsidRDefault="00210CD0" w:rsidP="00210CD0">
      <w:pPr>
        <w:spacing w:line="276" w:lineRule="auto"/>
        <w:contextualSpacing w:val="0"/>
        <w:jc w:val="center"/>
        <w:rPr>
          <w:rFonts w:ascii="Book Antiqua" w:eastAsia="Calibri" w:hAnsi="Book Antiqua" w:cs="Times New Roman"/>
          <w:b/>
          <w:color w:val="000000"/>
          <w:sz w:val="28"/>
          <w:szCs w:val="28"/>
          <w:lang w:val="sk-SK"/>
        </w:rPr>
      </w:pPr>
      <w:r w:rsidRPr="00210CD0">
        <w:rPr>
          <w:rFonts w:ascii="Book Antiqua" w:eastAsia="Calibri" w:hAnsi="Book Antiqua" w:cs="Times New Roman"/>
          <w:b/>
          <w:color w:val="000000"/>
          <w:sz w:val="28"/>
          <w:szCs w:val="28"/>
          <w:lang w:val="sk-SK"/>
        </w:rPr>
        <w:t>Útmutató</w:t>
      </w:r>
    </w:p>
    <w:p w:rsidR="00210CD0" w:rsidRPr="00210CD0" w:rsidRDefault="00210CD0" w:rsidP="00210CD0">
      <w:pPr>
        <w:spacing w:line="276" w:lineRule="auto"/>
        <w:contextualSpacing w:val="0"/>
        <w:jc w:val="center"/>
        <w:rPr>
          <w:rFonts w:ascii="Book Antiqua" w:eastAsia="Calibri" w:hAnsi="Book Antiqua" w:cs="Times New Roman"/>
          <w:b/>
          <w:color w:val="000000"/>
          <w:sz w:val="28"/>
          <w:szCs w:val="28"/>
          <w:lang w:val="sk-SK"/>
        </w:rPr>
      </w:pPr>
    </w:p>
    <w:p w:rsidR="00210CD0" w:rsidRPr="00210CD0" w:rsidRDefault="00210CD0" w:rsidP="00210CD0">
      <w:pPr>
        <w:shd w:val="clear" w:color="auto" w:fill="FFFFFF"/>
        <w:spacing w:after="300" w:line="300" w:lineRule="atLeast"/>
        <w:contextualSpacing w:val="0"/>
        <w:jc w:val="left"/>
        <w:rPr>
          <w:rFonts w:ascii="Book Antiqua" w:eastAsia="Calibri" w:hAnsi="Book Antiqua" w:cs="Calibri"/>
          <w:i/>
          <w:color w:val="000000"/>
          <w:sz w:val="22"/>
          <w:lang w:val="sk-SK"/>
        </w:rPr>
      </w:pPr>
      <w:r w:rsidRPr="00210CD0">
        <w:rPr>
          <w:rFonts w:ascii="Book Antiqua" w:eastAsia="Calibri" w:hAnsi="Book Antiqua" w:cs="Arial"/>
          <w:color w:val="000000"/>
          <w:sz w:val="22"/>
          <w:lang w:eastAsia="hu-HU"/>
        </w:rPr>
        <w:t>Az 1407/2013/EU bizottsági rendelet</w:t>
      </w:r>
      <w:r w:rsidRPr="00210CD0">
        <w:rPr>
          <w:rFonts w:ascii="Book Antiqua" w:eastAsia="Calibri" w:hAnsi="Book Antiqua" w:cs="Arial"/>
          <w:color w:val="000000"/>
          <w:sz w:val="22"/>
          <w:vertAlign w:val="superscript"/>
          <w:lang w:eastAsia="hu-HU"/>
        </w:rPr>
        <w:footnoteReference w:id="1"/>
      </w:r>
      <w:r w:rsidRPr="00210CD0">
        <w:rPr>
          <w:rFonts w:ascii="Book Antiqua" w:eastAsia="Calibri" w:hAnsi="Book Antiqua" w:cs="Arial"/>
          <w:color w:val="000000"/>
          <w:sz w:val="22"/>
          <w:lang w:eastAsia="hu-HU"/>
        </w:rPr>
        <w:t xml:space="preserve"> szerinti, egy és ugyanazon vállalkozás részére a folyó pénzügyi évben, valamint az azt megelőző két pénzügyi év során az 1407/2013/EU bizottsági rendelet alapján odaítélt csekély összegű támogatások bruttó támogatástartalma tagállamonként nem haladhatja meg a </w:t>
      </w:r>
      <w:r w:rsidRPr="00210CD0">
        <w:rPr>
          <w:rFonts w:ascii="Book Antiqua" w:eastAsia="Calibri" w:hAnsi="Book Antiqua" w:cs="Arial"/>
          <w:b/>
          <w:color w:val="000000"/>
          <w:sz w:val="22"/>
          <w:lang w:eastAsia="hu-HU"/>
        </w:rPr>
        <w:t>200.000 eurónak</w:t>
      </w:r>
      <w:r w:rsidRPr="00210CD0">
        <w:rPr>
          <w:rFonts w:ascii="Book Antiqua" w:eastAsia="Calibri" w:hAnsi="Book Antiqua" w:cs="Arial"/>
          <w:color w:val="000000"/>
          <w:sz w:val="22"/>
          <w:lang w:eastAsia="hu-HU"/>
        </w:rPr>
        <w:t xml:space="preserve">, közúti kereskedelmi árufuvarozást ellenszolgáltatás fejében végző vállalkozások esetében a </w:t>
      </w:r>
      <w:r w:rsidRPr="00210CD0">
        <w:rPr>
          <w:rFonts w:ascii="Book Antiqua" w:eastAsia="Calibri" w:hAnsi="Book Antiqua" w:cs="Arial"/>
          <w:b/>
          <w:color w:val="000000"/>
          <w:sz w:val="22"/>
          <w:lang w:eastAsia="hu-HU"/>
        </w:rPr>
        <w:t>100.000 eurónak</w:t>
      </w:r>
      <w:r w:rsidRPr="00210CD0">
        <w:rPr>
          <w:rFonts w:ascii="Book Antiqua" w:eastAsia="Calibri" w:hAnsi="Book Antiqua" w:cs="Arial"/>
          <w:color w:val="000000"/>
          <w:sz w:val="22"/>
          <w:lang w:eastAsia="hu-HU"/>
        </w:rPr>
        <w:t xml:space="preserve"> megfelelő </w:t>
      </w:r>
      <w:proofErr w:type="gramStart"/>
      <w:r w:rsidRPr="00210CD0">
        <w:rPr>
          <w:rFonts w:ascii="Book Antiqua" w:eastAsia="Calibri" w:hAnsi="Book Antiqua" w:cs="Arial"/>
          <w:color w:val="000000"/>
          <w:sz w:val="22"/>
          <w:lang w:eastAsia="hu-HU"/>
        </w:rPr>
        <w:t>forintösszeget</w:t>
      </w:r>
      <w:r w:rsidRPr="00210CD0">
        <w:rPr>
          <w:rFonts w:ascii="Book Antiqua" w:eastAsia="Calibri" w:hAnsi="Book Antiqua" w:cs="Arial"/>
          <w:color w:val="000000"/>
          <w:sz w:val="22"/>
          <w:vertAlign w:val="superscript"/>
          <w:lang w:eastAsia="hu-HU"/>
        </w:rPr>
        <w:footnoteReference w:id="2"/>
      </w:r>
      <w:r w:rsidRPr="00210CD0">
        <w:rPr>
          <w:rFonts w:ascii="Book Antiqua" w:eastAsia="Calibri" w:hAnsi="Book Antiqua" w:cs="Arial"/>
          <w:color w:val="000000"/>
          <w:sz w:val="22"/>
          <w:lang w:eastAsia="hu-HU"/>
        </w:rPr>
        <w:t>,</w:t>
      </w:r>
      <w:proofErr w:type="gramEnd"/>
      <w:r w:rsidRPr="00210CD0">
        <w:rPr>
          <w:rFonts w:ascii="Book Antiqua" w:eastAsia="Calibri" w:hAnsi="Book Antiqua" w:cs="Arial"/>
          <w:color w:val="000000"/>
          <w:sz w:val="22"/>
          <w:lang w:eastAsia="hu-HU"/>
        </w:rPr>
        <w:t xml:space="preserve"> figyelemmel az egyesülésre valamint a szétválásra vonatkozó szabályokra</w:t>
      </w:r>
      <w:r w:rsidRPr="00210CD0">
        <w:rPr>
          <w:rFonts w:ascii="Book Antiqua" w:eastAsia="Calibri" w:hAnsi="Book Antiqua" w:cs="Arial"/>
          <w:color w:val="000000"/>
          <w:sz w:val="22"/>
          <w:vertAlign w:val="superscript"/>
          <w:lang w:eastAsia="hu-HU"/>
        </w:rPr>
        <w:footnoteReference w:id="3"/>
      </w:r>
      <w:r w:rsidRPr="00210CD0">
        <w:rPr>
          <w:rFonts w:ascii="Book Antiqua" w:eastAsia="Calibri" w:hAnsi="Book Antiqua" w:cs="Arial"/>
          <w:color w:val="000000"/>
          <w:sz w:val="22"/>
          <w:lang w:eastAsia="hu-HU"/>
        </w:rPr>
        <w:t xml:space="preserve"> is.</w:t>
      </w:r>
      <w:r w:rsidRPr="00210CD0">
        <w:rPr>
          <w:rFonts w:ascii="Book Antiqua" w:eastAsia="Calibri" w:hAnsi="Book Antiqua" w:cs="Calibri"/>
          <w:i/>
          <w:color w:val="000000"/>
          <w:sz w:val="22"/>
          <w:lang w:val="sk-SK"/>
        </w:rPr>
        <w:t xml:space="preserve"> </w:t>
      </w:r>
    </w:p>
    <w:p w:rsidR="00210CD0" w:rsidRPr="00210CD0" w:rsidRDefault="00210CD0" w:rsidP="00210CD0">
      <w:pPr>
        <w:numPr>
          <w:ilvl w:val="0"/>
          <w:numId w:val="1"/>
        </w:numPr>
        <w:spacing w:after="200" w:line="276" w:lineRule="auto"/>
        <w:contextualSpacing w:val="0"/>
        <w:jc w:val="left"/>
        <w:rPr>
          <w:rFonts w:ascii="Book Antiqua" w:eastAsia="Calibri" w:hAnsi="Book Antiqua" w:cs="Calibri"/>
          <w:i/>
          <w:sz w:val="22"/>
        </w:rPr>
      </w:pPr>
      <w:r w:rsidRPr="00210CD0">
        <w:rPr>
          <w:rFonts w:ascii="Book Antiqua" w:eastAsia="Calibri" w:hAnsi="Book Antiqua" w:cs="Calibri"/>
          <w:i/>
          <w:sz w:val="22"/>
        </w:rPr>
        <w:t>Mi a bruttó támogatástartalom?</w:t>
      </w:r>
    </w:p>
    <w:p w:rsidR="00210CD0" w:rsidRPr="00210CD0" w:rsidRDefault="00210CD0" w:rsidP="00210CD0">
      <w:pPr>
        <w:numPr>
          <w:ilvl w:val="1"/>
          <w:numId w:val="1"/>
        </w:numPr>
        <w:spacing w:after="200" w:line="276" w:lineRule="auto"/>
        <w:contextualSpacing w:val="0"/>
        <w:jc w:val="left"/>
        <w:rPr>
          <w:rFonts w:ascii="Book Antiqua" w:eastAsia="Calibri" w:hAnsi="Book Antiqua" w:cs="Calibri"/>
          <w:sz w:val="22"/>
        </w:rPr>
      </w:pPr>
      <w:r w:rsidRPr="00210CD0">
        <w:rPr>
          <w:rFonts w:ascii="Book Antiqua" w:eastAsia="Calibri" w:hAnsi="Book Antiqua" w:cs="Calibri"/>
          <w:sz w:val="22"/>
        </w:rPr>
        <w:t>A több részletben, éven átnyúlóan fizetendő támogatást az odaítélése időpontjában érvényes értékre kell diszkontálni az odaítélés idején érvényes referencia ráta alkalmazásával.</w:t>
      </w:r>
    </w:p>
    <w:p w:rsidR="00210CD0" w:rsidRPr="00210CD0" w:rsidRDefault="00210CD0" w:rsidP="00210CD0">
      <w:pPr>
        <w:numPr>
          <w:ilvl w:val="0"/>
          <w:numId w:val="1"/>
        </w:numPr>
        <w:spacing w:after="200" w:line="276" w:lineRule="auto"/>
        <w:contextualSpacing w:val="0"/>
        <w:jc w:val="left"/>
        <w:rPr>
          <w:rFonts w:ascii="Book Antiqua" w:eastAsia="Calibri" w:hAnsi="Book Antiqua" w:cs="Calibri"/>
          <w:i/>
          <w:sz w:val="22"/>
        </w:rPr>
      </w:pPr>
      <w:r w:rsidRPr="00210CD0">
        <w:rPr>
          <w:rFonts w:ascii="Book Antiqua" w:eastAsia="Calibri" w:hAnsi="Book Antiqua" w:cs="Calibri"/>
          <w:i/>
          <w:sz w:val="22"/>
        </w:rPr>
        <w:t>Milyen esetekben tekintendő a támogatást igénylő egy másik vállalkozással egy és ugyanazon vállalkozásnak?</w:t>
      </w:r>
    </w:p>
    <w:p w:rsidR="00210CD0" w:rsidRPr="00210CD0" w:rsidRDefault="00210CD0" w:rsidP="00210CD0">
      <w:pPr>
        <w:numPr>
          <w:ilvl w:val="1"/>
          <w:numId w:val="1"/>
        </w:numPr>
        <w:spacing w:after="200" w:line="276" w:lineRule="auto"/>
        <w:contextualSpacing w:val="0"/>
        <w:jc w:val="left"/>
        <w:rPr>
          <w:rFonts w:ascii="Book Antiqua" w:eastAsia="Calibri" w:hAnsi="Book Antiqua" w:cs="Calibri"/>
          <w:sz w:val="22"/>
        </w:rPr>
      </w:pPr>
      <w:r w:rsidRPr="00210CD0">
        <w:rPr>
          <w:rFonts w:ascii="Book Antiqua" w:eastAsia="Calibri" w:hAnsi="Book Antiqua" w:cs="Calibri"/>
          <w:sz w:val="22"/>
        </w:rPr>
        <w:t xml:space="preserve">Egyik a másikban a részvényesek vagy tagok </w:t>
      </w:r>
      <w:r w:rsidRPr="00210CD0">
        <w:rPr>
          <w:rFonts w:ascii="Book Antiqua" w:eastAsia="Calibri" w:hAnsi="Book Antiqua" w:cs="Calibri"/>
          <w:b/>
          <w:sz w:val="22"/>
        </w:rPr>
        <w:t>szavazati jogának</w:t>
      </w:r>
      <w:r w:rsidRPr="00210CD0">
        <w:rPr>
          <w:rFonts w:ascii="Book Antiqua" w:eastAsia="Calibri" w:hAnsi="Book Antiqua" w:cs="Calibri"/>
          <w:sz w:val="22"/>
        </w:rPr>
        <w:t xml:space="preserve"> többségével rendelkezik, vagy</w:t>
      </w:r>
    </w:p>
    <w:p w:rsidR="00210CD0" w:rsidRPr="00210CD0" w:rsidRDefault="00210CD0" w:rsidP="00210CD0">
      <w:pPr>
        <w:numPr>
          <w:ilvl w:val="1"/>
          <w:numId w:val="1"/>
        </w:numPr>
        <w:spacing w:after="200" w:line="276" w:lineRule="auto"/>
        <w:contextualSpacing w:val="0"/>
        <w:jc w:val="left"/>
        <w:rPr>
          <w:rFonts w:ascii="Book Antiqua" w:eastAsia="Calibri" w:hAnsi="Book Antiqua" w:cs="Calibri"/>
          <w:sz w:val="22"/>
        </w:rPr>
      </w:pPr>
      <w:r w:rsidRPr="00210CD0">
        <w:rPr>
          <w:rFonts w:ascii="Book Antiqua" w:eastAsia="Calibri" w:hAnsi="Book Antiqua" w:cs="Calibri"/>
          <w:sz w:val="22"/>
        </w:rPr>
        <w:t xml:space="preserve">Egyik a másik igazgatási, irányítási vagy felügyeleti </w:t>
      </w:r>
      <w:r w:rsidRPr="00210CD0">
        <w:rPr>
          <w:rFonts w:ascii="Book Antiqua" w:eastAsia="Calibri" w:hAnsi="Book Antiqua" w:cs="Calibri"/>
          <w:b/>
          <w:sz w:val="22"/>
        </w:rPr>
        <w:t>testülete tagjainak</w:t>
      </w:r>
      <w:r w:rsidRPr="00210CD0">
        <w:rPr>
          <w:rFonts w:ascii="Book Antiqua" w:eastAsia="Calibri" w:hAnsi="Book Antiqua" w:cs="Calibri"/>
          <w:sz w:val="22"/>
        </w:rPr>
        <w:t xml:space="preserve"> többségét jogosult kinevezni vagy elmozdítani, vagy</w:t>
      </w:r>
    </w:p>
    <w:p w:rsidR="00210CD0" w:rsidRPr="00210CD0" w:rsidRDefault="00210CD0" w:rsidP="00210CD0">
      <w:pPr>
        <w:numPr>
          <w:ilvl w:val="1"/>
          <w:numId w:val="1"/>
        </w:numPr>
        <w:spacing w:after="200" w:line="276" w:lineRule="auto"/>
        <w:contextualSpacing w:val="0"/>
        <w:jc w:val="left"/>
        <w:rPr>
          <w:rFonts w:ascii="Book Antiqua" w:eastAsia="Calibri" w:hAnsi="Book Antiqua" w:cs="Calibri"/>
          <w:sz w:val="22"/>
        </w:rPr>
      </w:pPr>
      <w:r w:rsidRPr="00210CD0">
        <w:rPr>
          <w:rFonts w:ascii="Book Antiqua" w:eastAsia="Calibri" w:hAnsi="Book Antiqua" w:cs="Calibri"/>
          <w:sz w:val="22"/>
        </w:rPr>
        <w:t xml:space="preserve">Egyik a másik felett </w:t>
      </w:r>
      <w:r w:rsidRPr="00210CD0">
        <w:rPr>
          <w:rFonts w:ascii="Book Antiqua" w:eastAsia="Calibri" w:hAnsi="Book Antiqua" w:cs="Calibri"/>
          <w:b/>
          <w:sz w:val="22"/>
        </w:rPr>
        <w:t>szerződés</w:t>
      </w:r>
      <w:r w:rsidRPr="00210CD0">
        <w:rPr>
          <w:rFonts w:ascii="Book Antiqua" w:eastAsia="Calibri" w:hAnsi="Book Antiqua" w:cs="Calibri"/>
          <w:sz w:val="22"/>
        </w:rPr>
        <w:t>, vagy alapító okiratban vagy társasági szerződés alapján meghatározó befolyást gyakorolhat, vagy</w:t>
      </w:r>
    </w:p>
    <w:p w:rsidR="00210CD0" w:rsidRPr="00210CD0" w:rsidRDefault="00210CD0" w:rsidP="00210CD0">
      <w:pPr>
        <w:numPr>
          <w:ilvl w:val="1"/>
          <w:numId w:val="1"/>
        </w:numPr>
        <w:spacing w:after="200" w:line="276" w:lineRule="auto"/>
        <w:contextualSpacing w:val="0"/>
        <w:jc w:val="left"/>
        <w:rPr>
          <w:rFonts w:ascii="Book Antiqua" w:eastAsia="Calibri" w:hAnsi="Book Antiqua" w:cs="Calibri"/>
          <w:sz w:val="22"/>
        </w:rPr>
      </w:pPr>
      <w:r w:rsidRPr="00210CD0">
        <w:rPr>
          <w:rFonts w:ascii="Book Antiqua" w:eastAsia="Calibri" w:hAnsi="Book Antiqua" w:cs="Calibri"/>
          <w:sz w:val="22"/>
        </w:rPr>
        <w:t xml:space="preserve">Egyik a másik részvényese vagy tagja, a többi részvényessel vagy taggal kötött megállapodás alapján </w:t>
      </w:r>
      <w:r w:rsidRPr="00210CD0">
        <w:rPr>
          <w:rFonts w:ascii="Book Antiqua" w:eastAsia="Calibri" w:hAnsi="Book Antiqua" w:cs="Calibri"/>
          <w:b/>
          <w:sz w:val="22"/>
        </w:rPr>
        <w:t>egyedül birtokolja</w:t>
      </w:r>
      <w:r w:rsidRPr="00210CD0">
        <w:rPr>
          <w:rFonts w:ascii="Book Antiqua" w:eastAsia="Calibri" w:hAnsi="Book Antiqua" w:cs="Calibri"/>
          <w:sz w:val="22"/>
        </w:rPr>
        <w:t xml:space="preserve"> a szavazati jogok többségét</w:t>
      </w:r>
    </w:p>
    <w:p w:rsidR="00210CD0" w:rsidRPr="00210CD0" w:rsidRDefault="00210CD0" w:rsidP="00210CD0">
      <w:pPr>
        <w:numPr>
          <w:ilvl w:val="1"/>
          <w:numId w:val="1"/>
        </w:numPr>
        <w:spacing w:after="200" w:line="276" w:lineRule="auto"/>
        <w:contextualSpacing w:val="0"/>
        <w:jc w:val="left"/>
        <w:rPr>
          <w:rFonts w:ascii="Book Antiqua" w:eastAsia="Calibri" w:hAnsi="Book Antiqua" w:cs="Calibri"/>
          <w:sz w:val="22"/>
        </w:rPr>
      </w:pPr>
      <w:r w:rsidRPr="00210CD0">
        <w:rPr>
          <w:rFonts w:ascii="Book Antiqua" w:eastAsia="Calibri" w:hAnsi="Book Antiqua" w:cs="Calibri"/>
          <w:sz w:val="22"/>
        </w:rPr>
        <w:t xml:space="preserve">Amennyiben a támogatást igénylő a fenti kapcsolatok bármelyikével egy vagy több másik vállalkozáson </w:t>
      </w:r>
      <w:r w:rsidRPr="00210CD0">
        <w:rPr>
          <w:rFonts w:ascii="Book Antiqua" w:eastAsia="Calibri" w:hAnsi="Book Antiqua" w:cs="Calibri"/>
          <w:b/>
          <w:sz w:val="22"/>
        </w:rPr>
        <w:t>keresztül</w:t>
      </w:r>
      <w:r w:rsidRPr="00210CD0">
        <w:rPr>
          <w:rFonts w:ascii="Book Antiqua" w:eastAsia="Calibri" w:hAnsi="Book Antiqua" w:cs="Calibri"/>
          <w:sz w:val="22"/>
        </w:rPr>
        <w:t xml:space="preserve"> rendelkezik, úgy azok vonatkozásában is egy és ugyanazon vállalkozásnak kell tekinteni.</w:t>
      </w:r>
    </w:p>
    <w:p w:rsidR="00210CD0" w:rsidRPr="00210CD0" w:rsidRDefault="00210CD0" w:rsidP="00210CD0">
      <w:pPr>
        <w:numPr>
          <w:ilvl w:val="0"/>
          <w:numId w:val="1"/>
        </w:numPr>
        <w:spacing w:after="200" w:line="276" w:lineRule="auto"/>
        <w:contextualSpacing w:val="0"/>
        <w:jc w:val="left"/>
        <w:rPr>
          <w:rFonts w:ascii="Book Antiqua" w:eastAsia="Calibri" w:hAnsi="Book Antiqua" w:cs="Calibri"/>
          <w:i/>
          <w:sz w:val="22"/>
        </w:rPr>
      </w:pPr>
      <w:r w:rsidRPr="00210CD0">
        <w:rPr>
          <w:rFonts w:ascii="Book Antiqua" w:eastAsia="Calibri" w:hAnsi="Book Antiqua" w:cs="Calibri"/>
          <w:i/>
          <w:sz w:val="22"/>
        </w:rPr>
        <w:t>Milyen esetben kell alkalmazni a támogatást igénylőre az egyesülés, illetve a szétválás szabályait?</w:t>
      </w:r>
    </w:p>
    <w:p w:rsidR="00210CD0" w:rsidRPr="00210CD0" w:rsidRDefault="00210CD0" w:rsidP="00210CD0">
      <w:pPr>
        <w:numPr>
          <w:ilvl w:val="1"/>
          <w:numId w:val="1"/>
        </w:numPr>
        <w:shd w:val="clear" w:color="auto" w:fill="FFFFFF"/>
        <w:spacing w:after="300" w:line="300" w:lineRule="atLeast"/>
        <w:contextualSpacing w:val="0"/>
        <w:jc w:val="left"/>
        <w:rPr>
          <w:rFonts w:ascii="Book Antiqua" w:eastAsia="Calibri" w:hAnsi="Book Antiqua" w:cs="Arial"/>
          <w:color w:val="000000"/>
          <w:sz w:val="22"/>
          <w:lang w:eastAsia="hu-HU"/>
        </w:rPr>
      </w:pPr>
      <w:r w:rsidRPr="00210CD0">
        <w:rPr>
          <w:rFonts w:ascii="Book Antiqua" w:eastAsia="Calibri" w:hAnsi="Book Antiqua" w:cs="Arial"/>
          <w:color w:val="000000"/>
          <w:sz w:val="22"/>
          <w:lang w:eastAsia="hu-HU"/>
        </w:rPr>
        <w:t>Abban az esetben, ha az egyesülésre vagy szétválásra a folyó pénzügyi évben, valamint az azt megelőző két pénzügyi év során került sor.</w:t>
      </w:r>
    </w:p>
    <w:p w:rsidR="00210CD0" w:rsidRPr="00210CD0" w:rsidRDefault="00210CD0" w:rsidP="00210CD0">
      <w:pPr>
        <w:numPr>
          <w:ilvl w:val="1"/>
          <w:numId w:val="1"/>
        </w:numPr>
        <w:shd w:val="clear" w:color="auto" w:fill="FFFFFF"/>
        <w:spacing w:after="300" w:line="300" w:lineRule="atLeast"/>
        <w:contextualSpacing w:val="0"/>
        <w:jc w:val="left"/>
        <w:rPr>
          <w:rFonts w:ascii="Book Antiqua" w:eastAsia="Calibri" w:hAnsi="Book Antiqua" w:cs="Arial"/>
          <w:color w:val="000000"/>
          <w:sz w:val="22"/>
          <w:lang w:eastAsia="hu-HU"/>
        </w:rPr>
      </w:pPr>
      <w:r w:rsidRPr="00210CD0">
        <w:rPr>
          <w:rFonts w:ascii="Book Antiqua" w:eastAsia="Calibri" w:hAnsi="Book Antiqua" w:cs="Arial"/>
          <w:color w:val="000000"/>
          <w:sz w:val="22"/>
          <w:lang w:eastAsia="hu-HU"/>
        </w:rPr>
        <w:lastRenderedPageBreak/>
        <w:t xml:space="preserve"> Az </w:t>
      </w:r>
      <w:r w:rsidRPr="00210CD0">
        <w:rPr>
          <w:rFonts w:ascii="Book Antiqua" w:eastAsia="Calibri" w:hAnsi="Book Antiqua" w:cs="Arial"/>
          <w:b/>
          <w:color w:val="000000"/>
          <w:sz w:val="22"/>
          <w:lang w:eastAsia="hu-HU"/>
        </w:rPr>
        <w:t>egyesülés</w:t>
      </w:r>
      <w:r w:rsidRPr="00210CD0">
        <w:rPr>
          <w:rFonts w:ascii="Book Antiqua" w:eastAsia="Calibri" w:hAnsi="Book Antiqua" w:cs="Arial"/>
          <w:color w:val="000000"/>
          <w:sz w:val="22"/>
          <w:lang w:eastAsia="hu-HU"/>
        </w:rPr>
        <w:t xml:space="preserve"> által érintett vállalkozásoknak nyújtott valamennyi korábbi csekély összegű támogatást bele kell számítani az egyesülés révén létrejövő, vagy jogutód támogatást igénylő csekély összegű támogatási keretébe. Az egyesülést megelőzően jogszerűen odaítélt csekély összegű támogatás később is jogszerű marad.</w:t>
      </w:r>
    </w:p>
    <w:p w:rsidR="00210CD0" w:rsidRPr="00210CD0" w:rsidRDefault="00210CD0" w:rsidP="00210CD0">
      <w:pPr>
        <w:numPr>
          <w:ilvl w:val="1"/>
          <w:numId w:val="1"/>
        </w:numPr>
        <w:shd w:val="clear" w:color="auto" w:fill="FFFFFF"/>
        <w:spacing w:after="300" w:line="300" w:lineRule="atLeast"/>
        <w:contextualSpacing w:val="0"/>
        <w:jc w:val="left"/>
        <w:rPr>
          <w:rFonts w:ascii="Book Antiqua" w:eastAsia="Calibri" w:hAnsi="Book Antiqua" w:cs="Arial"/>
          <w:color w:val="000000"/>
          <w:sz w:val="22"/>
          <w:lang w:eastAsia="hu-HU"/>
        </w:rPr>
      </w:pPr>
      <w:r w:rsidRPr="00210CD0">
        <w:rPr>
          <w:rFonts w:ascii="Book Antiqua" w:eastAsia="Calibri" w:hAnsi="Book Antiqua" w:cs="Arial"/>
          <w:color w:val="000000"/>
          <w:sz w:val="22"/>
          <w:lang w:eastAsia="hu-HU"/>
        </w:rPr>
        <w:t xml:space="preserve">Ha egy vállalkozás két vagy több vállalkozásra válik szét, a </w:t>
      </w:r>
      <w:r w:rsidRPr="00210CD0">
        <w:rPr>
          <w:rFonts w:ascii="Book Antiqua" w:eastAsia="Calibri" w:hAnsi="Book Antiqua" w:cs="Arial"/>
          <w:b/>
          <w:color w:val="000000"/>
          <w:sz w:val="22"/>
          <w:lang w:eastAsia="hu-HU"/>
        </w:rPr>
        <w:t xml:space="preserve">szétválást </w:t>
      </w:r>
      <w:r w:rsidRPr="00210CD0">
        <w:rPr>
          <w:rFonts w:ascii="Book Antiqua" w:eastAsia="Calibri" w:hAnsi="Book Antiqua" w:cs="Arial"/>
          <w:color w:val="000000"/>
          <w:sz w:val="22"/>
          <w:lang w:eastAsia="hu-HU"/>
        </w:rPr>
        <w:t>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p w:rsidR="00210CD0" w:rsidRPr="00210CD0" w:rsidRDefault="00210CD0" w:rsidP="00210CD0">
      <w:pPr>
        <w:numPr>
          <w:ilvl w:val="1"/>
          <w:numId w:val="1"/>
        </w:numPr>
        <w:shd w:val="clear" w:color="auto" w:fill="FFFFFF"/>
        <w:spacing w:after="300" w:line="300" w:lineRule="atLeast"/>
        <w:contextualSpacing w:val="0"/>
        <w:jc w:val="left"/>
        <w:rPr>
          <w:rFonts w:ascii="Book Antiqua" w:eastAsia="Calibri" w:hAnsi="Book Antiqua" w:cs="Arial"/>
          <w:color w:val="000000"/>
          <w:sz w:val="22"/>
          <w:lang w:eastAsia="hu-HU"/>
        </w:rPr>
      </w:pPr>
      <w:r w:rsidRPr="00210CD0">
        <w:rPr>
          <w:rFonts w:ascii="Book Antiqua" w:eastAsia="Calibri" w:hAnsi="Book Antiqua" w:cs="Arial"/>
          <w:color w:val="000000"/>
          <w:sz w:val="22"/>
          <w:lang w:eastAsia="hu-HU"/>
        </w:rPr>
        <w:t>Annak meghatározásához, hogy az újabb csekély összegű támogatás meghaladja-e az alkalmazandó felső határt, figyelembe kell venni az azon vállalkozások részére nyújtott csekély összegű támogatásokat is, amelyek a kedvezményezettel egy és ugyanazon vállalkozásnak minősülnek.</w:t>
      </w:r>
    </w:p>
    <w:p w:rsidR="00210CD0" w:rsidRPr="00210CD0" w:rsidRDefault="00210CD0" w:rsidP="00210CD0">
      <w:pPr>
        <w:shd w:val="clear" w:color="auto" w:fill="FFFFFF"/>
        <w:spacing w:after="300" w:line="300" w:lineRule="atLeast"/>
        <w:contextualSpacing w:val="0"/>
        <w:rPr>
          <w:rFonts w:ascii="Book Antiqua" w:eastAsia="Calibri" w:hAnsi="Book Antiqua" w:cs="Arial"/>
          <w:b/>
          <w:color w:val="000000"/>
          <w:sz w:val="22"/>
          <w:lang w:eastAsia="hu-HU"/>
        </w:rPr>
      </w:pPr>
      <w:r w:rsidRPr="00210CD0">
        <w:rPr>
          <w:rFonts w:ascii="Book Antiqua" w:eastAsia="Calibri" w:hAnsi="Book Antiqua" w:cs="Arial"/>
          <w:b/>
          <w:color w:val="000000"/>
          <w:sz w:val="22"/>
          <w:lang w:eastAsia="hu-HU"/>
        </w:rPr>
        <w:t>Halmozódás:</w:t>
      </w:r>
    </w:p>
    <w:p w:rsidR="00210CD0" w:rsidRPr="00210CD0" w:rsidRDefault="00210CD0" w:rsidP="00210CD0">
      <w:pPr>
        <w:numPr>
          <w:ilvl w:val="0"/>
          <w:numId w:val="1"/>
        </w:numPr>
        <w:shd w:val="clear" w:color="auto" w:fill="FFFFFF"/>
        <w:spacing w:after="300" w:line="300" w:lineRule="atLeast"/>
        <w:contextualSpacing w:val="0"/>
        <w:jc w:val="left"/>
        <w:rPr>
          <w:rFonts w:ascii="Book Antiqua" w:eastAsia="Calibri" w:hAnsi="Book Antiqua" w:cs="Arial"/>
          <w:color w:val="000000"/>
          <w:sz w:val="22"/>
          <w:lang w:val="sk-SK" w:eastAsia="hu-HU"/>
        </w:rPr>
      </w:pPr>
      <w:r w:rsidRPr="00210CD0">
        <w:rPr>
          <w:rFonts w:ascii="Book Antiqua" w:eastAsia="Calibri" w:hAnsi="Book Antiqua" w:cs="Arial"/>
          <w:color w:val="000000"/>
          <w:sz w:val="22"/>
          <w:lang w:val="sk-SK" w:eastAsia="hu-HU"/>
        </w:rPr>
        <w:t>Az 1407/2013/EU bizottsági rendelet szerinti csekély összegű támogatás más csekély összegű támogatásokról szóló rendeleteknek megfelelően nyújtott csekély összegű támogatással [pl. az Európai Unió működéséről szóló szerződés 107. és 108. cikkének a mezőgazdasági ágazatban nyújtott csekély összegű támogatásokra való alkalmazásáról szóló, 2013. december 18-i 1408/2013/EU bizottsági rendelet (HL L 352., 2013.12.24., 9. o.) alapján nyújtott mezőgazdasági csekély összegű támogatással]  az 1407/2013/EU bizottsági rendeletben meghatározott 200.000 eurónak, a közúti kereskedelmi árufuvarozást ellenszolgáltatás fejében végző vállalkozások esetében a 100.000 eurónak megfelelő forintösszegig halmozható.</w:t>
      </w:r>
    </w:p>
    <w:p w:rsidR="00210CD0" w:rsidRPr="00210CD0" w:rsidRDefault="00210CD0" w:rsidP="00210CD0">
      <w:pPr>
        <w:shd w:val="clear" w:color="auto" w:fill="FFFFFF"/>
        <w:spacing w:after="300" w:line="300" w:lineRule="atLeast"/>
        <w:ind w:left="720"/>
        <w:rPr>
          <w:rFonts w:ascii="Book Antiqua" w:eastAsia="Calibri" w:hAnsi="Book Antiqua" w:cs="Arial"/>
          <w:color w:val="000000"/>
          <w:sz w:val="22"/>
          <w:lang w:val="sk-SK" w:eastAsia="hu-HU"/>
        </w:rPr>
      </w:pPr>
    </w:p>
    <w:p w:rsidR="00210CD0" w:rsidRPr="00210CD0" w:rsidRDefault="00210CD0" w:rsidP="00210CD0">
      <w:pPr>
        <w:numPr>
          <w:ilvl w:val="1"/>
          <w:numId w:val="1"/>
        </w:numPr>
        <w:shd w:val="clear" w:color="auto" w:fill="FFFFFF"/>
        <w:spacing w:after="300" w:line="300" w:lineRule="atLeast"/>
        <w:contextualSpacing w:val="0"/>
        <w:jc w:val="left"/>
        <w:rPr>
          <w:rFonts w:ascii="Book Antiqua" w:eastAsia="Calibri" w:hAnsi="Book Antiqua" w:cs="Arial"/>
          <w:color w:val="000000"/>
          <w:sz w:val="22"/>
          <w:lang w:eastAsia="hu-HU"/>
        </w:rPr>
      </w:pPr>
      <w:r w:rsidRPr="00210CD0">
        <w:rPr>
          <w:rFonts w:ascii="Book Antiqua" w:eastAsia="Calibri" w:hAnsi="Book Antiqua" w:cs="Arial"/>
          <w:i/>
          <w:color w:val="000000"/>
          <w:sz w:val="22"/>
          <w:u w:val="single"/>
          <w:lang w:eastAsia="hu-HU"/>
        </w:rPr>
        <w:t>Például:</w:t>
      </w:r>
      <w:r w:rsidRPr="00210CD0">
        <w:rPr>
          <w:rFonts w:ascii="Book Antiqua" w:eastAsia="Calibri" w:hAnsi="Book Antiqua" w:cs="Arial"/>
          <w:color w:val="000000"/>
          <w:sz w:val="22"/>
          <w:lang w:eastAsia="hu-HU"/>
        </w:rPr>
        <w:t xml:space="preserve"> </w:t>
      </w:r>
    </w:p>
    <w:p w:rsidR="00210CD0" w:rsidRPr="00210CD0" w:rsidRDefault="00210CD0" w:rsidP="00210CD0">
      <w:pPr>
        <w:shd w:val="clear" w:color="auto" w:fill="FFFFFF"/>
        <w:spacing w:after="300" w:line="300" w:lineRule="atLeast"/>
        <w:ind w:left="1416"/>
        <w:rPr>
          <w:rFonts w:ascii="Book Antiqua" w:eastAsia="Calibri" w:hAnsi="Book Antiqua" w:cs="Arial"/>
          <w:color w:val="000000"/>
          <w:sz w:val="22"/>
          <w:lang w:val="sk-SK" w:eastAsia="hu-HU"/>
        </w:rPr>
      </w:pPr>
      <w:r w:rsidRPr="00210CD0">
        <w:rPr>
          <w:rFonts w:ascii="Book Antiqua" w:eastAsia="Calibri" w:hAnsi="Book Antiqua" w:cs="Arial"/>
          <w:color w:val="000000"/>
          <w:sz w:val="22"/>
          <w:lang w:eastAsia="hu-HU"/>
        </w:rPr>
        <w:t xml:space="preserve">Ha egy </w:t>
      </w:r>
      <w:r w:rsidRPr="00210CD0">
        <w:rPr>
          <w:rFonts w:ascii="Book Antiqua" w:eastAsia="Calibri" w:hAnsi="Book Antiqua" w:cs="Arial"/>
          <w:i/>
          <w:color w:val="000000"/>
          <w:sz w:val="22"/>
          <w:lang w:eastAsia="hu-HU"/>
        </w:rPr>
        <w:t>kizárólag</w:t>
      </w:r>
      <w:r w:rsidRPr="00210CD0">
        <w:rPr>
          <w:rFonts w:ascii="Book Antiqua" w:eastAsia="Calibri" w:hAnsi="Book Antiqua" w:cs="Arial"/>
          <w:color w:val="000000"/>
          <w:sz w:val="22"/>
          <w:lang w:eastAsia="hu-HU"/>
        </w:rPr>
        <w:t xml:space="preserve"> mezőgazdasági és közúti árufuvarozási tevékenységet végző vállalkozás mezőgazdasági de </w:t>
      </w:r>
      <w:proofErr w:type="spellStart"/>
      <w:r w:rsidRPr="00210CD0">
        <w:rPr>
          <w:rFonts w:ascii="Book Antiqua" w:eastAsia="Calibri" w:hAnsi="Book Antiqua" w:cs="Arial"/>
          <w:color w:val="000000"/>
          <w:sz w:val="22"/>
          <w:lang w:eastAsia="hu-HU"/>
        </w:rPr>
        <w:t>minimis</w:t>
      </w:r>
      <w:proofErr w:type="spellEnd"/>
      <w:r w:rsidRPr="00210CD0">
        <w:rPr>
          <w:rFonts w:ascii="Book Antiqua" w:eastAsia="Calibri" w:hAnsi="Book Antiqua" w:cs="Arial"/>
          <w:color w:val="000000"/>
          <w:sz w:val="22"/>
          <w:lang w:eastAsia="hu-HU"/>
        </w:rPr>
        <w:t xml:space="preserve"> támogatásnak minősülő 15.000 euró támogatásban részesül, részére a közúti árufuvarozási tevékenységéhez az alacsonyabb 100.000 eurós értékhatárra figyelemmel, 85.000 euró támogatás nyújtható. Amennyiben ez a vállalkozás </w:t>
      </w:r>
      <w:r w:rsidRPr="00210CD0">
        <w:rPr>
          <w:rFonts w:ascii="Book Antiqua" w:eastAsia="Calibri" w:hAnsi="Book Antiqua" w:cs="Arial"/>
          <w:i/>
          <w:color w:val="000000"/>
          <w:sz w:val="22"/>
          <w:lang w:eastAsia="hu-HU"/>
        </w:rPr>
        <w:t>egyéb</w:t>
      </w:r>
      <w:r w:rsidRPr="00210CD0">
        <w:rPr>
          <w:rFonts w:ascii="Book Antiqua" w:eastAsia="Calibri" w:hAnsi="Book Antiqua" w:cs="Arial"/>
          <w:color w:val="000000"/>
          <w:sz w:val="22"/>
          <w:lang w:eastAsia="hu-HU"/>
        </w:rPr>
        <w:t xml:space="preserve"> tevékenységet (pl. könyvvizsgálat) is végez, úgy rá, már az </w:t>
      </w:r>
      <w:r w:rsidRPr="00210CD0">
        <w:rPr>
          <w:rFonts w:ascii="Book Antiqua" w:eastAsia="Calibri" w:hAnsi="Book Antiqua" w:cs="Arial"/>
          <w:i/>
          <w:color w:val="000000"/>
          <w:sz w:val="22"/>
          <w:lang w:eastAsia="hu-HU"/>
        </w:rPr>
        <w:t>1407/2013/EU</w:t>
      </w:r>
      <w:r w:rsidRPr="00210CD0">
        <w:rPr>
          <w:rFonts w:ascii="Book Antiqua" w:eastAsia="Calibri" w:hAnsi="Book Antiqua" w:cs="Arial"/>
          <w:color w:val="000000"/>
          <w:sz w:val="22"/>
          <w:lang w:eastAsia="hu-HU"/>
        </w:rPr>
        <w:t xml:space="preserve"> bizottsági rendelet 200.000 eurós értékhatára vonatkozik, így részére 185.000 euró de </w:t>
      </w:r>
      <w:proofErr w:type="spellStart"/>
      <w:r w:rsidRPr="00210CD0">
        <w:rPr>
          <w:rFonts w:ascii="Book Antiqua" w:eastAsia="Calibri" w:hAnsi="Book Antiqua" w:cs="Arial"/>
          <w:color w:val="000000"/>
          <w:sz w:val="22"/>
          <w:lang w:eastAsia="hu-HU"/>
        </w:rPr>
        <w:t>minimis</w:t>
      </w:r>
      <w:proofErr w:type="spellEnd"/>
      <w:r w:rsidRPr="00210CD0">
        <w:rPr>
          <w:rFonts w:ascii="Book Antiqua" w:eastAsia="Calibri" w:hAnsi="Book Antiqua" w:cs="Arial"/>
          <w:color w:val="000000"/>
          <w:sz w:val="22"/>
          <w:lang w:eastAsia="hu-HU"/>
        </w:rPr>
        <w:t xml:space="preserve"> támogatás nyújtható. </w:t>
      </w:r>
    </w:p>
    <w:p w:rsidR="00210CD0" w:rsidRPr="00210CD0" w:rsidRDefault="00210CD0" w:rsidP="00210CD0">
      <w:pPr>
        <w:shd w:val="clear" w:color="auto" w:fill="FFFFFF"/>
        <w:spacing w:after="300" w:line="300" w:lineRule="atLeast"/>
        <w:ind w:left="720"/>
        <w:rPr>
          <w:rFonts w:ascii="Book Antiqua" w:eastAsia="Calibri" w:hAnsi="Book Antiqua" w:cs="Arial"/>
          <w:color w:val="000000"/>
          <w:sz w:val="22"/>
          <w:lang w:val="sk-SK" w:eastAsia="hu-HU"/>
        </w:rPr>
      </w:pPr>
    </w:p>
    <w:p w:rsidR="00210CD0" w:rsidRPr="00210CD0" w:rsidRDefault="00210CD0" w:rsidP="00210CD0">
      <w:pPr>
        <w:numPr>
          <w:ilvl w:val="0"/>
          <w:numId w:val="1"/>
        </w:numPr>
        <w:shd w:val="clear" w:color="auto" w:fill="FFFFFF"/>
        <w:spacing w:after="300" w:line="300" w:lineRule="atLeast"/>
        <w:ind w:left="360"/>
        <w:contextualSpacing w:val="0"/>
        <w:jc w:val="left"/>
        <w:rPr>
          <w:rFonts w:ascii="Book Antiqua" w:eastAsia="Calibri" w:hAnsi="Book Antiqua" w:cs="Arial"/>
          <w:color w:val="000000"/>
          <w:sz w:val="22"/>
          <w:lang w:val="sk-SK" w:eastAsia="hu-HU"/>
        </w:rPr>
      </w:pPr>
      <w:r w:rsidRPr="00210CD0">
        <w:rPr>
          <w:rFonts w:ascii="Book Antiqua" w:eastAsia="Calibri" w:hAnsi="Book Antiqua" w:cs="Arial"/>
          <w:color w:val="000000"/>
          <w:sz w:val="22"/>
          <w:lang w:val="sk-SK" w:eastAsia="hu-HU"/>
        </w:rPr>
        <w:t xml:space="preserve">Az 1407/2013/EU bizottsági rendelet alapján nyújtott csekély összegű támogatás az Európai Unió működéséről szóló szerződés 107. és 108. cikkének az általános gazdasági érdekű szolgáltatást nyújtó vállalkozások számára nyújtott csekély összegű </w:t>
      </w:r>
      <w:r w:rsidRPr="00210CD0">
        <w:rPr>
          <w:rFonts w:ascii="Book Antiqua" w:eastAsia="Calibri" w:hAnsi="Book Antiqua" w:cs="Arial"/>
          <w:color w:val="000000"/>
          <w:sz w:val="22"/>
          <w:lang w:val="sk-SK" w:eastAsia="hu-HU"/>
        </w:rPr>
        <w:lastRenderedPageBreak/>
        <w:t xml:space="preserve">támogatásokra való alkalmazásáról szóló 2012. április 25-i 360/2012/EU bizottsági rendeletnek (HL L 114, 2012.4.26., 8-13. o.) (a továbbiakban: 360/2012/EU bizottsági rendelet) megfelelően nyújtott közszolgáltatási csekély összegű támogatással a 360/2012/EU bizottsági rendeletben meghatározott 500.000 eurónak megfelelő forintösszegig halmozható. </w:t>
      </w:r>
    </w:p>
    <w:p w:rsidR="00210CD0" w:rsidRPr="00210CD0" w:rsidRDefault="00210CD0" w:rsidP="00210CD0">
      <w:pPr>
        <w:shd w:val="clear" w:color="auto" w:fill="FFFFFF"/>
        <w:spacing w:after="300" w:line="300" w:lineRule="atLeast"/>
        <w:ind w:left="360"/>
        <w:rPr>
          <w:rFonts w:ascii="Book Antiqua" w:eastAsia="Calibri" w:hAnsi="Book Antiqua" w:cs="Arial"/>
          <w:color w:val="000000"/>
          <w:sz w:val="22"/>
          <w:lang w:val="sk-SK" w:eastAsia="hu-HU"/>
        </w:rPr>
      </w:pPr>
    </w:p>
    <w:p w:rsidR="00210CD0" w:rsidRPr="00210CD0" w:rsidRDefault="00210CD0" w:rsidP="00210CD0">
      <w:pPr>
        <w:numPr>
          <w:ilvl w:val="0"/>
          <w:numId w:val="1"/>
        </w:numPr>
        <w:shd w:val="clear" w:color="auto" w:fill="FFFFFF"/>
        <w:spacing w:after="300" w:line="300" w:lineRule="atLeast"/>
        <w:ind w:left="360"/>
        <w:contextualSpacing w:val="0"/>
        <w:jc w:val="left"/>
        <w:rPr>
          <w:rFonts w:ascii="Book Antiqua" w:eastAsia="Calibri" w:hAnsi="Book Antiqua" w:cs="Arial"/>
          <w:color w:val="000000"/>
          <w:sz w:val="22"/>
          <w:lang w:val="sk-SK" w:eastAsia="hu-HU"/>
        </w:rPr>
      </w:pPr>
      <w:r w:rsidRPr="00210CD0">
        <w:rPr>
          <w:rFonts w:ascii="Book Antiqua" w:eastAsia="Calibri" w:hAnsi="Book Antiqua" w:cs="Arial"/>
          <w:color w:val="000000"/>
          <w:sz w:val="22"/>
          <w:lang w:val="sk-SK" w:eastAsia="hu-HU"/>
        </w:rPr>
        <w:t>Amennyiben a halászati és akvakultúra-ágazatban működő valamely vállalkozás az 1407/2013/EU rendelet hatálya alá tartozó egy vagy több ágazatban vagy egyéb tevékenységi körökben is folytat tevékenységet, a halászati és akvakultúra-ágazatba tartozó tevékenységek tekintetében az Európai Unió működéséről szóló szerződés 107. és 108. cikkének a halászati és akvakultúra- ágazatban nyújtott csekély összegű támogatásokra való alkalmazásáról szóló, 2014. június 27-i 717/2014/EU bizottsági rendeletnek (HL L 190., 2014.06.28., 45.o.) megfelelően nyújtott halászati csekély összegű támogatás az 1407/2013/EU bizottsági rendelet alapján nyújtott csekély összegű támogatással az 1407/2013/EU bizottsági rendeletben meghatározott 200.000 eurónak, a közúti kereskedelmi árufuvarozást ellenszolgáltatás fejében végző vállalkozások esetében a 100.000 eurónak megfelelő forintösszegig halmozható.</w:t>
      </w:r>
    </w:p>
    <w:p w:rsidR="00210CD0" w:rsidRPr="00210CD0" w:rsidRDefault="00210CD0" w:rsidP="00210CD0">
      <w:pPr>
        <w:shd w:val="clear" w:color="auto" w:fill="FFFFFF"/>
        <w:spacing w:after="300" w:line="300" w:lineRule="atLeast"/>
        <w:contextualSpacing w:val="0"/>
        <w:rPr>
          <w:rFonts w:ascii="Book Antiqua" w:eastAsia="Calibri" w:hAnsi="Book Antiqua" w:cs="Arial"/>
          <w:color w:val="000000"/>
          <w:sz w:val="22"/>
          <w:lang w:eastAsia="hu-HU"/>
        </w:rPr>
      </w:pPr>
      <w:r w:rsidRPr="00210CD0">
        <w:rPr>
          <w:rFonts w:ascii="Book Antiqua" w:eastAsia="Calibri" w:hAnsi="Book Antiqua" w:cs="Arial"/>
          <w:color w:val="000000"/>
          <w:sz w:val="22"/>
          <w:lang w:eastAsia="hu-HU"/>
        </w:rPr>
        <w:t xml:space="preserve">Ha létező támogatási program másként nem rendelkezik, az euróban meghatározott összegek forintra történő átszámításánál a támogatási döntés napját megelőző hónap utolsó napján érvényes, a Magyar Nemzeti Bank által közzétett, két tizedes jegy pontossággal meghatározott devizaárfolyam </w:t>
      </w:r>
      <w:proofErr w:type="gramStart"/>
      <w:r w:rsidRPr="00210CD0">
        <w:rPr>
          <w:rFonts w:ascii="Book Antiqua" w:eastAsia="Calibri" w:hAnsi="Book Antiqua" w:cs="Arial"/>
          <w:color w:val="000000"/>
          <w:sz w:val="22"/>
          <w:lang w:eastAsia="hu-HU"/>
        </w:rPr>
        <w:t>alkalmazandó</w:t>
      </w:r>
      <w:r w:rsidRPr="00210CD0">
        <w:rPr>
          <w:rFonts w:ascii="Book Antiqua" w:eastAsia="Calibri" w:hAnsi="Book Antiqua" w:cs="Arial"/>
          <w:color w:val="000000"/>
          <w:sz w:val="22"/>
          <w:vertAlign w:val="superscript"/>
          <w:lang w:eastAsia="hu-HU"/>
        </w:rPr>
        <w:footnoteReference w:id="4"/>
      </w:r>
      <w:r w:rsidRPr="00210CD0">
        <w:rPr>
          <w:rFonts w:ascii="Book Antiqua" w:eastAsia="Calibri" w:hAnsi="Book Antiqua" w:cs="Arial"/>
          <w:color w:val="000000"/>
          <w:sz w:val="22"/>
          <w:lang w:eastAsia="hu-HU"/>
        </w:rPr>
        <w:t>.</w:t>
      </w:r>
      <w:proofErr w:type="gramEnd"/>
    </w:p>
    <w:p w:rsidR="00210CD0" w:rsidRPr="00210CD0" w:rsidRDefault="00210CD0" w:rsidP="00210CD0">
      <w:pPr>
        <w:spacing w:line="276" w:lineRule="auto"/>
        <w:contextualSpacing w:val="0"/>
        <w:rPr>
          <w:rFonts w:ascii="Calibri" w:eastAsia="Calibri" w:hAnsi="Calibri" w:cs="Times New Roman"/>
          <w:sz w:val="22"/>
          <w:lang w:val="sk-SK"/>
        </w:rPr>
      </w:pPr>
      <w:r w:rsidRPr="00210CD0">
        <w:rPr>
          <w:rFonts w:ascii="Book Antiqua" w:eastAsia="Calibri" w:hAnsi="Book Antiqua" w:cs="Arial"/>
          <w:color w:val="000000"/>
          <w:sz w:val="22"/>
          <w:lang w:eastAsia="hu-HU"/>
        </w:rPr>
        <w:t>A feleknek a támogatáshoz kapcsolódó iratokat az odaítélést követő 10 évig meg kell őrizniük, és a támogatást nyújtó ilyen irányú felhívása esetén a támogatott köteles azokat bemutatni. A csekély összegű támogatási jogcímen nyújtott támogatásokról az Európai Bizottság kérésére 20 munkanapon belül információt kell szolgáltatni.</w:t>
      </w:r>
    </w:p>
    <w:p w:rsidR="00210CD0" w:rsidRPr="00210CD0" w:rsidRDefault="00210CD0" w:rsidP="00210CD0">
      <w:pPr>
        <w:spacing w:after="200" w:line="276" w:lineRule="auto"/>
        <w:contextualSpacing w:val="0"/>
        <w:jc w:val="left"/>
        <w:rPr>
          <w:rFonts w:ascii="Calibri" w:eastAsia="Calibri" w:hAnsi="Calibri" w:cs="Times New Roman"/>
          <w:sz w:val="22"/>
          <w:lang w:val="sk-SK"/>
        </w:rPr>
      </w:pPr>
    </w:p>
    <w:p w:rsidR="00210CD0" w:rsidRPr="00210CD0" w:rsidRDefault="00210CD0" w:rsidP="00210CD0">
      <w:pPr>
        <w:contextualSpacing w:val="0"/>
        <w:rPr>
          <w:rFonts w:ascii="MS Sans Serif" w:eastAsia="Times New Roman" w:hAnsi="MS Sans Serif" w:cs="Times New Roman"/>
          <w:b/>
          <w:bCs/>
          <w:szCs w:val="24"/>
          <w:lang w:eastAsia="hu-HU"/>
        </w:rPr>
      </w:pPr>
    </w:p>
    <w:p w:rsidR="006E0ACF" w:rsidRDefault="00473789">
      <w:bookmarkStart w:id="0" w:name="_GoBack"/>
      <w:bookmarkEnd w:id="0"/>
    </w:p>
    <w:sectPr w:rsidR="006E0ACF" w:rsidSect="00C876C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789" w:rsidRDefault="00473789" w:rsidP="00210CD0">
      <w:r>
        <w:separator/>
      </w:r>
    </w:p>
  </w:endnote>
  <w:endnote w:type="continuationSeparator" w:id="0">
    <w:p w:rsidR="00473789" w:rsidRDefault="00473789" w:rsidP="0021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789" w:rsidRDefault="00473789" w:rsidP="00210CD0">
      <w:r>
        <w:separator/>
      </w:r>
    </w:p>
  </w:footnote>
  <w:footnote w:type="continuationSeparator" w:id="0">
    <w:p w:rsidR="00473789" w:rsidRDefault="00473789" w:rsidP="00210CD0">
      <w:r>
        <w:continuationSeparator/>
      </w:r>
    </w:p>
  </w:footnote>
  <w:footnote w:id="1">
    <w:p w:rsidR="00210CD0" w:rsidRDefault="00210CD0" w:rsidP="00210CD0">
      <w:pPr>
        <w:pStyle w:val="Lbjegyzetszveg"/>
      </w:pPr>
      <w:r>
        <w:rPr>
          <w:rStyle w:val="Lbjegyzet-hivatkozs"/>
        </w:rPr>
        <w:footnoteRef/>
      </w:r>
      <w:r>
        <w:t xml:space="preserve"> 1407/2013/EU bizottsági rendelet </w:t>
      </w:r>
      <w:r w:rsidRPr="00F82A82">
        <w:rPr>
          <w:lang w:val="sk-SK"/>
        </w:rPr>
        <w:t>2. cikk (2) bekezdés</w:t>
      </w:r>
    </w:p>
  </w:footnote>
  <w:footnote w:id="2">
    <w:p w:rsidR="00210CD0" w:rsidRDefault="00210CD0" w:rsidP="00210CD0">
      <w:pPr>
        <w:pStyle w:val="Lbjegyzetszveg"/>
      </w:pPr>
      <w:r>
        <w:rPr>
          <w:rStyle w:val="Lbjegyzet-hivatkozs"/>
        </w:rPr>
        <w:footnoteRef/>
      </w:r>
      <w:r>
        <w:t xml:space="preserve"> </w:t>
      </w:r>
      <w:r w:rsidRPr="00F82A82">
        <w:rPr>
          <w:lang w:val="sk-SK"/>
        </w:rPr>
        <w:t xml:space="preserve">Az </w:t>
      </w:r>
      <w:r w:rsidRPr="00F82A82">
        <w:rPr>
          <w:lang w:val="sk-SK"/>
        </w:rPr>
        <w:t>átváltásnál az európai uniós versenyjogi értelemben vett állami támogatásokkal kapcsolatos eljárásról és a regionális támogatási térképről szóló 37/2011. (III. 22.) Korm. rendelet 35. §-a alapján kell eljárni.</w:t>
      </w:r>
    </w:p>
  </w:footnote>
  <w:footnote w:id="3">
    <w:p w:rsidR="00210CD0" w:rsidRDefault="00210CD0" w:rsidP="00210CD0">
      <w:pPr>
        <w:pStyle w:val="Lbjegyzetszveg"/>
      </w:pPr>
      <w:r>
        <w:rPr>
          <w:rStyle w:val="Lbjegyzet-hivatkozs"/>
        </w:rPr>
        <w:footnoteRef/>
      </w:r>
      <w:r>
        <w:t xml:space="preserve"> </w:t>
      </w:r>
      <w:r w:rsidRPr="00F82A82">
        <w:rPr>
          <w:lang w:val="sk-SK"/>
        </w:rPr>
        <w:t xml:space="preserve">1407/2013/EU </w:t>
      </w:r>
      <w:r w:rsidRPr="00F82A82">
        <w:rPr>
          <w:lang w:val="sk-SK"/>
        </w:rPr>
        <w:t>bizottsági rendelet 3. cikkének (8) és (9) bekezdés</w:t>
      </w:r>
    </w:p>
  </w:footnote>
  <w:footnote w:id="4">
    <w:p w:rsidR="00210CD0" w:rsidRDefault="00210CD0" w:rsidP="00210CD0">
      <w:pPr>
        <w:pStyle w:val="Lbjegyzetszveg"/>
      </w:pPr>
      <w:r>
        <w:rPr>
          <w:rStyle w:val="Lbjegyzet-hivatkozs"/>
        </w:rPr>
        <w:footnoteRef/>
      </w:r>
      <w:r>
        <w:t xml:space="preserve"> A</w:t>
      </w:r>
      <w:r w:rsidRPr="00F65C28">
        <w:t xml:space="preserve">z európai uniós versenyjogi értelemben vett állami támogatásokkal kapcsolatos eljárásról és a regionális támogatási térképről szóló 37/2011. (III. 22.) Korm. rendelet </w:t>
      </w:r>
      <w:r>
        <w:t>35.§ alapján.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CD0"/>
    <w:rsid w:val="00001576"/>
    <w:rsid w:val="000317D1"/>
    <w:rsid w:val="00033E81"/>
    <w:rsid w:val="00041B1E"/>
    <w:rsid w:val="00050C1B"/>
    <w:rsid w:val="0005113D"/>
    <w:rsid w:val="00053BE3"/>
    <w:rsid w:val="00064091"/>
    <w:rsid w:val="000800E9"/>
    <w:rsid w:val="0008747E"/>
    <w:rsid w:val="000A0796"/>
    <w:rsid w:val="000A23EA"/>
    <w:rsid w:val="000C401C"/>
    <w:rsid w:val="000E7306"/>
    <w:rsid w:val="00101E84"/>
    <w:rsid w:val="001056B7"/>
    <w:rsid w:val="0010658E"/>
    <w:rsid w:val="00110C66"/>
    <w:rsid w:val="00135CAA"/>
    <w:rsid w:val="001419D2"/>
    <w:rsid w:val="001424A4"/>
    <w:rsid w:val="00145698"/>
    <w:rsid w:val="00157771"/>
    <w:rsid w:val="001608E2"/>
    <w:rsid w:val="0018389D"/>
    <w:rsid w:val="001841E0"/>
    <w:rsid w:val="0019023D"/>
    <w:rsid w:val="001A6AFF"/>
    <w:rsid w:val="001A7ECA"/>
    <w:rsid w:val="001B13FD"/>
    <w:rsid w:val="001B1F83"/>
    <w:rsid w:val="001E5616"/>
    <w:rsid w:val="001F30B8"/>
    <w:rsid w:val="00201FB8"/>
    <w:rsid w:val="00210CD0"/>
    <w:rsid w:val="002360D5"/>
    <w:rsid w:val="00253987"/>
    <w:rsid w:val="0025723E"/>
    <w:rsid w:val="00262A86"/>
    <w:rsid w:val="0026477B"/>
    <w:rsid w:val="0026575F"/>
    <w:rsid w:val="002736FE"/>
    <w:rsid w:val="00293466"/>
    <w:rsid w:val="002A1E9C"/>
    <w:rsid w:val="002B1793"/>
    <w:rsid w:val="002B2842"/>
    <w:rsid w:val="002D1C0D"/>
    <w:rsid w:val="002E158C"/>
    <w:rsid w:val="002E5898"/>
    <w:rsid w:val="002F1FEB"/>
    <w:rsid w:val="002F384F"/>
    <w:rsid w:val="00305B59"/>
    <w:rsid w:val="003172AE"/>
    <w:rsid w:val="00317B45"/>
    <w:rsid w:val="003223BC"/>
    <w:rsid w:val="00322A57"/>
    <w:rsid w:val="00326C00"/>
    <w:rsid w:val="00343CB8"/>
    <w:rsid w:val="003D17E1"/>
    <w:rsid w:val="003E460D"/>
    <w:rsid w:val="00401455"/>
    <w:rsid w:val="004274D6"/>
    <w:rsid w:val="0043349C"/>
    <w:rsid w:val="00437592"/>
    <w:rsid w:val="00442B43"/>
    <w:rsid w:val="00452B4F"/>
    <w:rsid w:val="00463F45"/>
    <w:rsid w:val="00470D2F"/>
    <w:rsid w:val="00473789"/>
    <w:rsid w:val="00476C2A"/>
    <w:rsid w:val="00480F36"/>
    <w:rsid w:val="0048102D"/>
    <w:rsid w:val="00481A94"/>
    <w:rsid w:val="004B3638"/>
    <w:rsid w:val="004B651C"/>
    <w:rsid w:val="004B6DCF"/>
    <w:rsid w:val="004C4278"/>
    <w:rsid w:val="004C701F"/>
    <w:rsid w:val="004D65D1"/>
    <w:rsid w:val="004E64A2"/>
    <w:rsid w:val="00501D08"/>
    <w:rsid w:val="005105BA"/>
    <w:rsid w:val="00515987"/>
    <w:rsid w:val="0052565B"/>
    <w:rsid w:val="00557DBB"/>
    <w:rsid w:val="00560702"/>
    <w:rsid w:val="00561C0C"/>
    <w:rsid w:val="0057221F"/>
    <w:rsid w:val="0059683C"/>
    <w:rsid w:val="005B5A74"/>
    <w:rsid w:val="005C5830"/>
    <w:rsid w:val="005D713F"/>
    <w:rsid w:val="005F1743"/>
    <w:rsid w:val="005F7B62"/>
    <w:rsid w:val="006037FE"/>
    <w:rsid w:val="006170FD"/>
    <w:rsid w:val="00627158"/>
    <w:rsid w:val="00632ABB"/>
    <w:rsid w:val="00634CD6"/>
    <w:rsid w:val="00670D58"/>
    <w:rsid w:val="00673BC0"/>
    <w:rsid w:val="006759F7"/>
    <w:rsid w:val="00676847"/>
    <w:rsid w:val="006958BB"/>
    <w:rsid w:val="006A704F"/>
    <w:rsid w:val="006A73CB"/>
    <w:rsid w:val="006C498E"/>
    <w:rsid w:val="006C7D91"/>
    <w:rsid w:val="006D1AA2"/>
    <w:rsid w:val="006D2E34"/>
    <w:rsid w:val="006D33DE"/>
    <w:rsid w:val="006E03A5"/>
    <w:rsid w:val="006E0A6A"/>
    <w:rsid w:val="00700297"/>
    <w:rsid w:val="00705154"/>
    <w:rsid w:val="00715A89"/>
    <w:rsid w:val="00715B48"/>
    <w:rsid w:val="00723B7A"/>
    <w:rsid w:val="007817D2"/>
    <w:rsid w:val="007867F8"/>
    <w:rsid w:val="00793EB8"/>
    <w:rsid w:val="007A410B"/>
    <w:rsid w:val="007B53DF"/>
    <w:rsid w:val="007D3D17"/>
    <w:rsid w:val="007E12CE"/>
    <w:rsid w:val="007F797E"/>
    <w:rsid w:val="007F7B70"/>
    <w:rsid w:val="00807E09"/>
    <w:rsid w:val="008171B3"/>
    <w:rsid w:val="00822E05"/>
    <w:rsid w:val="008305F9"/>
    <w:rsid w:val="00836CA9"/>
    <w:rsid w:val="00865476"/>
    <w:rsid w:val="00866793"/>
    <w:rsid w:val="008767CE"/>
    <w:rsid w:val="00893FC7"/>
    <w:rsid w:val="008A307D"/>
    <w:rsid w:val="008C37DE"/>
    <w:rsid w:val="008D31DD"/>
    <w:rsid w:val="008D5394"/>
    <w:rsid w:val="008D689B"/>
    <w:rsid w:val="008E282F"/>
    <w:rsid w:val="008E5ABE"/>
    <w:rsid w:val="008F7B03"/>
    <w:rsid w:val="009366BA"/>
    <w:rsid w:val="0096082F"/>
    <w:rsid w:val="00964BB8"/>
    <w:rsid w:val="00972D78"/>
    <w:rsid w:val="00994678"/>
    <w:rsid w:val="0099500A"/>
    <w:rsid w:val="009958E3"/>
    <w:rsid w:val="009A10EA"/>
    <w:rsid w:val="009E40D1"/>
    <w:rsid w:val="009E7EA5"/>
    <w:rsid w:val="00A002DD"/>
    <w:rsid w:val="00A04BF8"/>
    <w:rsid w:val="00A10C57"/>
    <w:rsid w:val="00A10C89"/>
    <w:rsid w:val="00A57EED"/>
    <w:rsid w:val="00A6718C"/>
    <w:rsid w:val="00A746B3"/>
    <w:rsid w:val="00A87715"/>
    <w:rsid w:val="00A946F7"/>
    <w:rsid w:val="00AA6745"/>
    <w:rsid w:val="00AB1076"/>
    <w:rsid w:val="00AC1E60"/>
    <w:rsid w:val="00AD2778"/>
    <w:rsid w:val="00AE296D"/>
    <w:rsid w:val="00AF151E"/>
    <w:rsid w:val="00B110B4"/>
    <w:rsid w:val="00B15224"/>
    <w:rsid w:val="00B271E1"/>
    <w:rsid w:val="00B34FBC"/>
    <w:rsid w:val="00B671AA"/>
    <w:rsid w:val="00B701B2"/>
    <w:rsid w:val="00B7426B"/>
    <w:rsid w:val="00B76314"/>
    <w:rsid w:val="00B8010B"/>
    <w:rsid w:val="00B94E46"/>
    <w:rsid w:val="00BB0839"/>
    <w:rsid w:val="00BC3E05"/>
    <w:rsid w:val="00BF07A5"/>
    <w:rsid w:val="00BF6C7F"/>
    <w:rsid w:val="00C00858"/>
    <w:rsid w:val="00C551AF"/>
    <w:rsid w:val="00C556FF"/>
    <w:rsid w:val="00C57A3B"/>
    <w:rsid w:val="00C70A75"/>
    <w:rsid w:val="00C844A1"/>
    <w:rsid w:val="00C861AD"/>
    <w:rsid w:val="00C9277E"/>
    <w:rsid w:val="00C962CE"/>
    <w:rsid w:val="00CA16C5"/>
    <w:rsid w:val="00CA5A32"/>
    <w:rsid w:val="00CC4C73"/>
    <w:rsid w:val="00CF229A"/>
    <w:rsid w:val="00D01A12"/>
    <w:rsid w:val="00D03C73"/>
    <w:rsid w:val="00D3323A"/>
    <w:rsid w:val="00D347A9"/>
    <w:rsid w:val="00D4099A"/>
    <w:rsid w:val="00D445F4"/>
    <w:rsid w:val="00D5176C"/>
    <w:rsid w:val="00D66C29"/>
    <w:rsid w:val="00D82F87"/>
    <w:rsid w:val="00D95F5F"/>
    <w:rsid w:val="00DD08C1"/>
    <w:rsid w:val="00DD6AA4"/>
    <w:rsid w:val="00DE666A"/>
    <w:rsid w:val="00DF0F64"/>
    <w:rsid w:val="00E018C6"/>
    <w:rsid w:val="00E03FB9"/>
    <w:rsid w:val="00E1000A"/>
    <w:rsid w:val="00E35172"/>
    <w:rsid w:val="00E44AA9"/>
    <w:rsid w:val="00E52D15"/>
    <w:rsid w:val="00E57F1E"/>
    <w:rsid w:val="00E72651"/>
    <w:rsid w:val="00E72BB2"/>
    <w:rsid w:val="00E95FA0"/>
    <w:rsid w:val="00EA122E"/>
    <w:rsid w:val="00EA1266"/>
    <w:rsid w:val="00EA3169"/>
    <w:rsid w:val="00ED0C3C"/>
    <w:rsid w:val="00ED3894"/>
    <w:rsid w:val="00ED5FF3"/>
    <w:rsid w:val="00EF5F74"/>
    <w:rsid w:val="00F005A6"/>
    <w:rsid w:val="00F041FD"/>
    <w:rsid w:val="00F05E4C"/>
    <w:rsid w:val="00F146C1"/>
    <w:rsid w:val="00F477ED"/>
    <w:rsid w:val="00F82E1F"/>
    <w:rsid w:val="00F93D62"/>
    <w:rsid w:val="00F975EB"/>
    <w:rsid w:val="00FE6276"/>
    <w:rsid w:val="00FE7046"/>
    <w:rsid w:val="00FF75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next w:val="Nincstrkz"/>
    <w:qFormat/>
    <w:rsid w:val="008305F9"/>
    <w:pPr>
      <w:spacing w:after="0" w:line="240" w:lineRule="auto"/>
      <w:contextualSpacing/>
      <w:jc w:val="both"/>
    </w:pPr>
    <w:rPr>
      <w:rFonts w:ascii="Times New Roman" w:eastAsiaTheme="minorEastAsia"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8305F9"/>
    <w:pPr>
      <w:spacing w:after="0" w:line="240" w:lineRule="auto"/>
      <w:jc w:val="both"/>
    </w:pPr>
    <w:rPr>
      <w:rFonts w:ascii="Times New Roman" w:hAnsi="Times New Roman"/>
      <w:sz w:val="24"/>
    </w:rPr>
  </w:style>
  <w:style w:type="paragraph" w:customStyle="1" w:styleId="CharChar4CharCharCharCharCharCharCharCharCharCharCharCharCharCharCharChar">
    <w:name w:val=" Char Char4 Char Char Char Char Char Char Char Char Char Char Char Char Char Char Char Char"/>
    <w:basedOn w:val="Norml"/>
    <w:rsid w:val="00210CD0"/>
    <w:pPr>
      <w:spacing w:before="120" w:afterLines="50" w:after="160" w:line="240" w:lineRule="exact"/>
      <w:ind w:left="180"/>
      <w:contextualSpacing w:val="0"/>
      <w:jc w:val="left"/>
    </w:pPr>
    <w:rPr>
      <w:rFonts w:ascii="Verdana" w:eastAsia="Times New Roman" w:hAnsi="Verdana" w:cs="Verdana"/>
      <w:noProof/>
      <w:sz w:val="20"/>
      <w:szCs w:val="20"/>
      <w:lang w:val="en-US"/>
    </w:rPr>
  </w:style>
  <w:style w:type="paragraph" w:styleId="Lbjegyzetszveg">
    <w:name w:val="footnote text"/>
    <w:basedOn w:val="Norml"/>
    <w:link w:val="LbjegyzetszvegChar"/>
    <w:rsid w:val="00210CD0"/>
    <w:pPr>
      <w:contextualSpacing w:val="0"/>
      <w:jc w:val="left"/>
    </w:pPr>
    <w:rPr>
      <w:rFonts w:eastAsia="Times New Roman" w:cs="Times New Roman"/>
      <w:sz w:val="20"/>
      <w:szCs w:val="20"/>
      <w:lang w:eastAsia="hu-HU"/>
    </w:rPr>
  </w:style>
  <w:style w:type="character" w:customStyle="1" w:styleId="LbjegyzetszvegChar">
    <w:name w:val="Lábjegyzetszöveg Char"/>
    <w:basedOn w:val="Bekezdsalapbettpusa"/>
    <w:link w:val="Lbjegyzetszveg"/>
    <w:rsid w:val="00210CD0"/>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rsid w:val="00210CD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next w:val="Nincstrkz"/>
    <w:qFormat/>
    <w:rsid w:val="008305F9"/>
    <w:pPr>
      <w:spacing w:after="0" w:line="240" w:lineRule="auto"/>
      <w:contextualSpacing/>
      <w:jc w:val="both"/>
    </w:pPr>
    <w:rPr>
      <w:rFonts w:ascii="Times New Roman" w:eastAsiaTheme="minorEastAsia"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8305F9"/>
    <w:pPr>
      <w:spacing w:after="0" w:line="240" w:lineRule="auto"/>
      <w:jc w:val="both"/>
    </w:pPr>
    <w:rPr>
      <w:rFonts w:ascii="Times New Roman" w:hAnsi="Times New Roman"/>
      <w:sz w:val="24"/>
    </w:rPr>
  </w:style>
  <w:style w:type="paragraph" w:customStyle="1" w:styleId="CharChar4CharCharCharCharCharCharCharCharCharCharCharCharCharCharCharChar">
    <w:name w:val=" Char Char4 Char Char Char Char Char Char Char Char Char Char Char Char Char Char Char Char"/>
    <w:basedOn w:val="Norml"/>
    <w:rsid w:val="00210CD0"/>
    <w:pPr>
      <w:spacing w:before="120" w:afterLines="50" w:after="160" w:line="240" w:lineRule="exact"/>
      <w:ind w:left="180"/>
      <w:contextualSpacing w:val="0"/>
      <w:jc w:val="left"/>
    </w:pPr>
    <w:rPr>
      <w:rFonts w:ascii="Verdana" w:eastAsia="Times New Roman" w:hAnsi="Verdana" w:cs="Verdana"/>
      <w:noProof/>
      <w:sz w:val="20"/>
      <w:szCs w:val="20"/>
      <w:lang w:val="en-US"/>
    </w:rPr>
  </w:style>
  <w:style w:type="paragraph" w:styleId="Lbjegyzetszveg">
    <w:name w:val="footnote text"/>
    <w:basedOn w:val="Norml"/>
    <w:link w:val="LbjegyzetszvegChar"/>
    <w:rsid w:val="00210CD0"/>
    <w:pPr>
      <w:contextualSpacing w:val="0"/>
      <w:jc w:val="left"/>
    </w:pPr>
    <w:rPr>
      <w:rFonts w:eastAsia="Times New Roman" w:cs="Times New Roman"/>
      <w:sz w:val="20"/>
      <w:szCs w:val="20"/>
      <w:lang w:eastAsia="hu-HU"/>
    </w:rPr>
  </w:style>
  <w:style w:type="character" w:customStyle="1" w:styleId="LbjegyzetszvegChar">
    <w:name w:val="Lábjegyzetszöveg Char"/>
    <w:basedOn w:val="Bekezdsalapbettpusa"/>
    <w:link w:val="Lbjegyzetszveg"/>
    <w:rsid w:val="00210CD0"/>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rsid w:val="00210C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796</Words>
  <Characters>5496</Characters>
  <Application>Microsoft Office Word</Application>
  <DocSecurity>0</DocSecurity>
  <Lines>45</Lines>
  <Paragraphs>12</Paragraphs>
  <ScaleCrop>false</ScaleCrop>
  <Company/>
  <LinksUpToDate>false</LinksUpToDate>
  <CharactersWithSpaces>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Major Angéla</dc:creator>
  <cp:lastModifiedBy>Major Angéla</cp:lastModifiedBy>
  <cp:revision>1</cp:revision>
  <dcterms:created xsi:type="dcterms:W3CDTF">2015-12-09T08:37:00Z</dcterms:created>
  <dcterms:modified xsi:type="dcterms:W3CDTF">2015-12-09T08:38:00Z</dcterms:modified>
</cp:coreProperties>
</file>