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98" w:rsidRPr="00F02C90" w:rsidRDefault="00DF3F98" w:rsidP="00DF3F98">
      <w:pPr>
        <w:jc w:val="center"/>
        <w:rPr>
          <w:rFonts w:ascii="Garamond" w:hAnsi="Garamond"/>
          <w:b/>
        </w:rPr>
      </w:pPr>
      <w:r w:rsidRPr="00F02C90">
        <w:rPr>
          <w:rFonts w:ascii="Garamond" w:hAnsi="Garamond"/>
          <w:b/>
        </w:rPr>
        <w:t>INDOKOLÁS-HATÁSVIZSGÁLAT</w:t>
      </w:r>
    </w:p>
    <w:p w:rsidR="00DF3F98" w:rsidRDefault="00DF3F98" w:rsidP="00DF3F98"/>
    <w:p w:rsidR="00DF3F98" w:rsidRPr="007D6A8F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Indokolási kötelezettség a jogalkotásról szóló 2010. évi CXXX. törvény 18. § alapján:</w:t>
      </w:r>
    </w:p>
    <w:p w:rsidR="00DF3F98" w:rsidRPr="007D6A8F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"18.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DF3F98" w:rsidRDefault="00DF3F98" w:rsidP="00DF3F98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 w:rsidRPr="004D1097">
        <w:rPr>
          <w:rFonts w:ascii="Garamond" w:eastAsia="Calibri" w:hAnsi="Garamond"/>
          <w:b/>
          <w:color w:val="000000"/>
          <w:sz w:val="24"/>
          <w:szCs w:val="24"/>
          <w:u w:val="single"/>
        </w:rPr>
        <w:t>A rendeletalkotás indoka</w:t>
      </w:r>
      <w:proofErr w:type="gramStart"/>
      <w:r w:rsidRPr="004D1097">
        <w:rPr>
          <w:rFonts w:ascii="Garamond" w:eastAsia="Calibri" w:hAnsi="Garamond"/>
          <w:b/>
          <w:color w:val="000000"/>
          <w:sz w:val="24"/>
          <w:szCs w:val="24"/>
        </w:rPr>
        <w:t>: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 </w:t>
      </w:r>
      <w:r>
        <w:rPr>
          <w:rFonts w:ascii="Garamond" w:eastAsia="Calibri" w:hAnsi="Garamond"/>
          <w:color w:val="000000"/>
          <w:sz w:val="24"/>
          <w:szCs w:val="24"/>
        </w:rPr>
        <w:t xml:space="preserve"> Az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anyakönyvi eljárásról szóló 2010. évi I. törvény (továbbiakban: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.) 27. § (2) bekezdésének és 39. § (2) bekezdésének módosításával 2020. 02. 01. napjától megszűnik a vasárnapi napon történő házasságkötésre, valamint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a  bejegyzett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élettársi kapcsolat létesítésére vonatkozó lehetőség.  </w:t>
      </w:r>
    </w:p>
    <w:p w:rsidR="00DF3F98" w:rsidRDefault="00DF3F98" w:rsidP="00DF3F98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>. 96. §-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a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értelmében a települési önkormányzat rendeletben határozhatja meg a hivatali helyiségen kívüli, valamint a hivatali munkaidőn kívül történő házasságkötés és bejegyzett élettársi kapcsolat létesítése engedélyezésének szabályait, valamint a többletszolgáltatás ellentételezéseként fizetendő díj mértékét. </w:t>
      </w:r>
    </w:p>
    <w:p w:rsidR="00DF3F98" w:rsidRDefault="00DF3F98" w:rsidP="00DF3F98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>Nádasdladá</w:t>
      </w:r>
      <w:bookmarkStart w:id="0" w:name="_GoBack"/>
      <w:bookmarkEnd w:id="0"/>
      <w:r>
        <w:rPr>
          <w:rFonts w:ascii="Garamond" w:eastAsia="Calibri" w:hAnsi="Garamond"/>
          <w:color w:val="000000"/>
          <w:sz w:val="24"/>
          <w:szCs w:val="24"/>
        </w:rPr>
        <w:t xml:space="preserve">ny </w:t>
      </w:r>
      <w:r w:rsidRPr="004042DD">
        <w:rPr>
          <w:rFonts w:ascii="Garamond" w:eastAsia="Calibri" w:hAnsi="Garamond"/>
          <w:color w:val="000000"/>
          <w:sz w:val="24"/>
          <w:szCs w:val="24"/>
        </w:rPr>
        <w:t xml:space="preserve">Község Önkormányzat képviselő-testülete a </w:t>
      </w:r>
      <w:r>
        <w:rPr>
          <w:rFonts w:ascii="Garamond" w:eastAsia="Calibri" w:hAnsi="Garamond"/>
          <w:color w:val="000000"/>
          <w:sz w:val="24"/>
          <w:szCs w:val="24"/>
        </w:rPr>
        <w:t>7/</w:t>
      </w:r>
      <w:r w:rsidRPr="004042DD">
        <w:rPr>
          <w:rFonts w:ascii="Garamond" w:eastAsia="Calibri" w:hAnsi="Garamond"/>
          <w:color w:val="000000"/>
          <w:sz w:val="24"/>
          <w:szCs w:val="24"/>
        </w:rPr>
        <w:t xml:space="preserve">2017. (VI. </w:t>
      </w:r>
      <w:r>
        <w:rPr>
          <w:rFonts w:ascii="Garamond" w:eastAsia="Calibri" w:hAnsi="Garamond"/>
          <w:color w:val="000000"/>
          <w:sz w:val="24"/>
          <w:szCs w:val="24"/>
        </w:rPr>
        <w:t>15</w:t>
      </w:r>
      <w:r w:rsidRPr="004042DD">
        <w:rPr>
          <w:rFonts w:ascii="Garamond" w:eastAsia="Calibri" w:hAnsi="Garamond"/>
          <w:color w:val="000000"/>
          <w:sz w:val="24"/>
          <w:szCs w:val="24"/>
        </w:rPr>
        <w:t xml:space="preserve">.) önkormányzati rendeletében rendelkezett </w:t>
      </w:r>
      <w:r w:rsidRPr="004042DD">
        <w:rPr>
          <w:rFonts w:ascii="Garamond" w:eastAsia="Times New Roman" w:hAnsi="Garamond" w:cs="Times"/>
          <w:bCs/>
          <w:color w:val="000000"/>
          <w:sz w:val="24"/>
          <w:szCs w:val="24"/>
          <w:lang w:eastAsia="hu-HU"/>
        </w:rPr>
        <w:t>a hivatali helyiségen kívüli, valamint a hivatali munkaidőn kívül történő házasságkötés engedélyezésének szabályairól, és a többletszolgáltatás ellentételezéseként az önkormányzat, valamint az anyakönyvvezető részére fizetendő díj mértékéről</w:t>
      </w:r>
      <w:r>
        <w:rPr>
          <w:rFonts w:ascii="Garamond" w:eastAsia="Calibri" w:hAnsi="Garamond"/>
          <w:color w:val="000000"/>
          <w:sz w:val="24"/>
          <w:szCs w:val="24"/>
        </w:rPr>
        <w:t>.</w:t>
      </w:r>
    </w:p>
    <w:p w:rsidR="00DF3F98" w:rsidRPr="004042DD" w:rsidRDefault="00DF3F98" w:rsidP="00DF3F98">
      <w:pPr>
        <w:spacing w:before="100" w:beforeAutospacing="1" w:after="100" w:afterAutospacing="1"/>
        <w:jc w:val="both"/>
        <w:rPr>
          <w:rFonts w:ascii="Garamond" w:eastAsia="Calibri" w:hAnsi="Garamond"/>
          <w:color w:val="000000"/>
          <w:sz w:val="24"/>
          <w:szCs w:val="24"/>
        </w:rPr>
      </w:pP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hivatkozott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módosítására tekintettel szükségessé vált a rendelet felülvizsgálata és módosítása.</w:t>
      </w:r>
    </w:p>
    <w:p w:rsidR="00DF3F98" w:rsidRDefault="00DF3F98" w:rsidP="00DF3F98">
      <w:pPr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A rendeletalkotás célja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sz w:val="24"/>
          <w:szCs w:val="24"/>
        </w:rPr>
        <w:t>At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sz w:val="24"/>
          <w:szCs w:val="24"/>
        </w:rPr>
        <w:t>megváltozott</w:t>
      </w:r>
      <w:proofErr w:type="gramEnd"/>
      <w:r>
        <w:rPr>
          <w:rFonts w:ascii="Garamond" w:eastAsia="Calibri" w:hAnsi="Garamond"/>
          <w:sz w:val="24"/>
          <w:szCs w:val="24"/>
        </w:rPr>
        <w:t xml:space="preserve"> szabályainak való megfelelés. </w:t>
      </w:r>
    </w:p>
    <w:p w:rsidR="00DF3F98" w:rsidRPr="00B22C97" w:rsidRDefault="00DF3F98" w:rsidP="00DF3F98">
      <w:pPr>
        <w:jc w:val="both"/>
        <w:rPr>
          <w:rFonts w:ascii="Garamond" w:eastAsia="Calibri" w:hAnsi="Garamond"/>
          <w:b/>
          <w:sz w:val="24"/>
          <w:szCs w:val="24"/>
          <w:u w:val="single"/>
        </w:rPr>
      </w:pPr>
      <w:r w:rsidRPr="00B22C97">
        <w:rPr>
          <w:rFonts w:ascii="Garamond" w:eastAsia="Calibri" w:hAnsi="Garamond"/>
          <w:b/>
          <w:sz w:val="24"/>
          <w:szCs w:val="24"/>
          <w:u w:val="single"/>
        </w:rPr>
        <w:t>Részletes indokolás:</w:t>
      </w:r>
    </w:p>
    <w:p w:rsidR="00DF3F98" w:rsidRPr="004042DD" w:rsidRDefault="00DF3F98" w:rsidP="00DF3F98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/>
          <w:sz w:val="24"/>
          <w:szCs w:val="24"/>
        </w:rPr>
      </w:pPr>
      <w:r w:rsidRPr="004042DD">
        <w:rPr>
          <w:rFonts w:ascii="Garamond" w:eastAsia="Calibri" w:hAnsi="Garamond"/>
          <w:sz w:val="24"/>
          <w:szCs w:val="24"/>
        </w:rPr>
        <w:t>§ Az Alaprendelet módosítását tartalmazza, melynek eredményeként beépítésre kerül az alaprendeletbe a 2/</w:t>
      </w:r>
      <w:proofErr w:type="gramStart"/>
      <w:r w:rsidRPr="004042DD">
        <w:rPr>
          <w:rFonts w:ascii="Garamond" w:eastAsia="Calibri" w:hAnsi="Garamond"/>
          <w:sz w:val="24"/>
          <w:szCs w:val="24"/>
        </w:rPr>
        <w:t>A</w:t>
      </w:r>
      <w:proofErr w:type="gramEnd"/>
      <w:r w:rsidRPr="004042DD">
        <w:rPr>
          <w:rFonts w:ascii="Garamond" w:eastAsia="Calibri" w:hAnsi="Garamond"/>
          <w:sz w:val="24"/>
          <w:szCs w:val="24"/>
        </w:rPr>
        <w:t xml:space="preserve">. §, ami a házasságkötés létesítésének időpontjára vonatkozó rendelkezést tartalmazza.  </w:t>
      </w:r>
    </w:p>
    <w:p w:rsidR="00DF3F98" w:rsidRPr="00804BBF" w:rsidRDefault="00DF3F98" w:rsidP="00DF3F98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rFonts w:ascii="Garamond" w:eastAsia="Calibri" w:hAnsi="Garamond"/>
          <w:sz w:val="24"/>
          <w:szCs w:val="24"/>
        </w:rPr>
      </w:pPr>
      <w:r w:rsidRPr="004042DD">
        <w:rPr>
          <w:rFonts w:ascii="Garamond" w:eastAsia="Calibri" w:hAnsi="Garamond"/>
          <w:sz w:val="24"/>
          <w:szCs w:val="24"/>
        </w:rPr>
        <w:t xml:space="preserve">   § A hatályba léptető rendelkezéseket tartalmazza. A rendelet </w:t>
      </w:r>
      <w:r>
        <w:rPr>
          <w:rFonts w:ascii="Garamond" w:eastAsia="Calibri" w:hAnsi="Garamond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sz w:val="24"/>
          <w:szCs w:val="24"/>
        </w:rPr>
        <w:t>At</w:t>
      </w:r>
      <w:proofErr w:type="spellEnd"/>
      <w:r>
        <w:rPr>
          <w:rFonts w:ascii="Garamond" w:eastAsia="Calibri" w:hAnsi="Garamond"/>
          <w:sz w:val="24"/>
          <w:szCs w:val="24"/>
        </w:rPr>
        <w:t xml:space="preserve">. módosításával egy időben 2021. február 1-én lép </w:t>
      </w:r>
      <w:r w:rsidRPr="004042DD">
        <w:rPr>
          <w:rFonts w:ascii="Garamond" w:eastAsia="Calibri" w:hAnsi="Garamond"/>
          <w:sz w:val="24"/>
          <w:szCs w:val="24"/>
        </w:rPr>
        <w:t>hatályba</w:t>
      </w:r>
      <w:r>
        <w:rPr>
          <w:rFonts w:ascii="Garamond" w:eastAsia="Calibri" w:hAnsi="Garamond"/>
          <w:sz w:val="24"/>
          <w:szCs w:val="24"/>
        </w:rPr>
        <w:t>, azzal, hogy a rendelkezéseit a hatálybalépést követően benyújtott házasságkötési szándék esetén kell alkalmazni</w:t>
      </w:r>
      <w:r w:rsidRPr="004042DD">
        <w:rPr>
          <w:rFonts w:ascii="Garamond" w:eastAsia="Calibri" w:hAnsi="Garamond"/>
          <w:sz w:val="24"/>
          <w:szCs w:val="24"/>
        </w:rPr>
        <w:t>.</w:t>
      </w:r>
    </w:p>
    <w:p w:rsidR="00DF3F98" w:rsidRPr="007D6A8F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bCs/>
          <w:i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  <w:u w:val="single"/>
        </w:rPr>
        <w:t>Előzetes hatásvizsgálat a jogalkotásról szóló 2010. évi CXXX. törvény 17. § alapján</w:t>
      </w:r>
      <w:r w:rsidRPr="007D6A8F">
        <w:rPr>
          <w:rFonts w:ascii="Garamond" w:eastAsia="Calibri" w:hAnsi="Garamond"/>
          <w:sz w:val="24"/>
          <w:szCs w:val="24"/>
        </w:rPr>
        <w:t>: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bCs/>
          <w:i/>
          <w:sz w:val="24"/>
          <w:szCs w:val="24"/>
        </w:rPr>
        <w:t>"17. §</w:t>
      </w:r>
      <w:r w:rsidRPr="007D6A8F">
        <w:rPr>
          <w:rFonts w:ascii="Garamond" w:eastAsia="Calibri" w:hAnsi="Garamond"/>
          <w:b/>
          <w:bCs/>
          <w:i/>
          <w:sz w:val="24"/>
          <w:szCs w:val="24"/>
        </w:rPr>
        <w:t xml:space="preserve"> </w:t>
      </w:r>
      <w:r w:rsidRPr="007D6A8F">
        <w:rPr>
          <w:rFonts w:ascii="Garamond" w:eastAsia="Calibri" w:hAnsi="Garamond"/>
          <w:i/>
          <w:sz w:val="24"/>
          <w:szCs w:val="24"/>
        </w:rPr>
        <w:t>(1) A jogszabály előkészítője - a jogszabály feltételezett hatásaihoz igazodó részletességű - előzetes hatásvizsgálat elvégzésével felméri a szabályozás várható következményeit. Az előzetes hatásvizsgálat eredményéről a Kormány által előterjesztendő törvényjavaslat, illetve kormányrendelet esetén a Kormányt, önkormányzati rendelet esetén a helyi önkormányzat képviselő-testületét tájékoztatni kell. Miniszteri rendelet rendelkezhet úgy, hogy az általa meghatározott esetben a közjogi szervezetszabályozó eszköz előkészítője előzetes hatásvizsgálatot végez.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sz w:val="24"/>
          <w:szCs w:val="24"/>
        </w:rPr>
        <w:t>(2) A hatásvizsgálat során vizsgálni kell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 tervezett jogszabály valamennyi jelentősnek ítélt hatását, különösen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lastRenderedPageBreak/>
        <w:t>aa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társadalmi, gazdasági, költségvetési hatásait,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gramStart"/>
      <w:r w:rsidRPr="007D6A8F">
        <w:rPr>
          <w:rFonts w:ascii="Garamond" w:eastAsia="Calibri" w:hAnsi="Garamond"/>
          <w:i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környezeti és egészségi következményeit,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proofErr w:type="spellStart"/>
      <w:r w:rsidRPr="007D6A8F">
        <w:rPr>
          <w:rFonts w:ascii="Garamond" w:eastAsia="Calibri" w:hAnsi="Garamond"/>
          <w:i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i/>
          <w:sz w:val="24"/>
          <w:szCs w:val="24"/>
        </w:rPr>
        <w:t>adminisztratív terheket befolyásoló hatásait, valamint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b) </w:t>
      </w:r>
      <w:r w:rsidRPr="007D6A8F">
        <w:rPr>
          <w:rFonts w:ascii="Garamond" w:eastAsia="Calibri" w:hAnsi="Garamond"/>
          <w:i/>
          <w:sz w:val="24"/>
          <w:szCs w:val="24"/>
        </w:rPr>
        <w:t>a jogszabály megalkotásának szükségességét, a jogalkotás elmaradásának várható következményeit, és</w:t>
      </w:r>
    </w:p>
    <w:p w:rsidR="00DF3F98" w:rsidRPr="007D6A8F" w:rsidRDefault="00DF3F98" w:rsidP="00DF3F98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/>
          <w:i/>
          <w:sz w:val="24"/>
          <w:szCs w:val="24"/>
        </w:rPr>
      </w:pPr>
      <w:r w:rsidRPr="007D6A8F">
        <w:rPr>
          <w:rFonts w:ascii="Garamond" w:eastAsia="Calibri" w:hAnsi="Garamond"/>
          <w:i/>
          <w:iCs/>
          <w:sz w:val="24"/>
          <w:szCs w:val="24"/>
        </w:rPr>
        <w:t xml:space="preserve">c) </w:t>
      </w:r>
      <w:r w:rsidRPr="007D6A8F">
        <w:rPr>
          <w:rFonts w:ascii="Garamond" w:eastAsia="Calibri" w:hAnsi="Garamond"/>
          <w:i/>
          <w:sz w:val="24"/>
          <w:szCs w:val="24"/>
        </w:rPr>
        <w:t>a jogszabály alkalmazásához szükséges személyi, szervezeti, tárgyi és pénzügyi feltételeket."</w:t>
      </w:r>
    </w:p>
    <w:p w:rsidR="00DF3F98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</w:p>
    <w:p w:rsidR="00DF3F98" w:rsidRPr="004D1097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b/>
          <w:sz w:val="24"/>
          <w:szCs w:val="24"/>
        </w:rPr>
      </w:pPr>
      <w:proofErr w:type="gramStart"/>
      <w:r w:rsidRPr="004D1097">
        <w:rPr>
          <w:rFonts w:ascii="Garamond" w:eastAsia="Calibri" w:hAnsi="Garamond"/>
          <w:b/>
          <w:sz w:val="24"/>
          <w:szCs w:val="24"/>
        </w:rPr>
        <w:t>a</w:t>
      </w:r>
      <w:proofErr w:type="gramEnd"/>
      <w:r w:rsidRPr="004D1097">
        <w:rPr>
          <w:rFonts w:ascii="Garamond" w:eastAsia="Calibri" w:hAnsi="Garamond"/>
          <w:b/>
          <w:sz w:val="24"/>
          <w:szCs w:val="24"/>
        </w:rPr>
        <w:t xml:space="preserve">) </w:t>
      </w:r>
      <w:r w:rsidRPr="004D1097">
        <w:rPr>
          <w:rFonts w:ascii="Garamond" w:eastAsia="Calibri" w:hAnsi="Garamond"/>
          <w:b/>
          <w:sz w:val="24"/>
          <w:szCs w:val="24"/>
          <w:u w:val="single"/>
        </w:rPr>
        <w:t>A tervezett jogszabály valamennyi jelentősnek ítélt hatása, különösen</w:t>
      </w:r>
    </w:p>
    <w:p w:rsidR="00DF3F98" w:rsidRPr="00452FC3" w:rsidRDefault="00DF3F98" w:rsidP="00DF3F98">
      <w:pPr>
        <w:ind w:left="284"/>
        <w:jc w:val="both"/>
        <w:rPr>
          <w:rFonts w:ascii="Garamond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aa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1716F5">
        <w:rPr>
          <w:rFonts w:ascii="Garamond" w:hAnsi="Garamond"/>
          <w:sz w:val="24"/>
          <w:szCs w:val="24"/>
          <w:u w:val="single"/>
        </w:rPr>
        <w:t>társadalmi, gazdasági hatása</w:t>
      </w:r>
      <w:r>
        <w:rPr>
          <w:rFonts w:ascii="Garamond" w:hAnsi="Garamond"/>
          <w:sz w:val="24"/>
          <w:szCs w:val="24"/>
        </w:rPr>
        <w:t>: nem számolunk</w:t>
      </w:r>
    </w:p>
    <w:p w:rsidR="00DF3F98" w:rsidRPr="00452FC3" w:rsidRDefault="00DF3F98" w:rsidP="00DF3F98">
      <w:pPr>
        <w:ind w:left="284"/>
        <w:jc w:val="both"/>
        <w:rPr>
          <w:rFonts w:ascii="Garamond" w:hAnsi="Garamond"/>
          <w:sz w:val="24"/>
          <w:szCs w:val="24"/>
        </w:rPr>
      </w:pPr>
      <w:proofErr w:type="gramStart"/>
      <w:r w:rsidRPr="007D6A8F">
        <w:rPr>
          <w:rFonts w:ascii="Garamond" w:eastAsia="Calibri" w:hAnsi="Garamond"/>
          <w:iCs/>
          <w:sz w:val="24"/>
          <w:szCs w:val="24"/>
        </w:rPr>
        <w:t>ab</w:t>
      </w:r>
      <w:proofErr w:type="gram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környezeti és egészségi következményei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>nem számolunk</w:t>
      </w:r>
    </w:p>
    <w:p w:rsidR="00DF3F98" w:rsidRPr="007D6A8F" w:rsidRDefault="00DF3F98" w:rsidP="00DF3F98">
      <w:pPr>
        <w:ind w:left="284"/>
        <w:jc w:val="both"/>
        <w:rPr>
          <w:rFonts w:ascii="Garamond" w:eastAsia="Calibri" w:hAnsi="Garamond"/>
          <w:sz w:val="24"/>
          <w:szCs w:val="24"/>
        </w:rPr>
      </w:pPr>
      <w:proofErr w:type="spellStart"/>
      <w:r w:rsidRPr="007D6A8F">
        <w:rPr>
          <w:rFonts w:ascii="Garamond" w:eastAsia="Calibri" w:hAnsi="Garamond"/>
          <w:iCs/>
          <w:sz w:val="24"/>
          <w:szCs w:val="24"/>
        </w:rPr>
        <w:t>ac</w:t>
      </w:r>
      <w:proofErr w:type="spellEnd"/>
      <w:r w:rsidRPr="007D6A8F">
        <w:rPr>
          <w:rFonts w:ascii="Garamond" w:eastAsia="Calibri" w:hAnsi="Garamond"/>
          <w:iCs/>
          <w:sz w:val="24"/>
          <w:szCs w:val="24"/>
        </w:rPr>
        <w:t xml:space="preserve">) </w:t>
      </w:r>
      <w:r w:rsidRPr="007D6A8F">
        <w:rPr>
          <w:rFonts w:ascii="Garamond" w:eastAsia="Calibri" w:hAnsi="Garamond"/>
          <w:sz w:val="24"/>
          <w:szCs w:val="24"/>
          <w:u w:val="single"/>
        </w:rPr>
        <w:t>adminisztratív terheket befolyásoló hatásai</w:t>
      </w:r>
      <w:r w:rsidRPr="007D6A8F">
        <w:rPr>
          <w:rFonts w:ascii="Garamond" w:eastAsia="Calibri" w:hAnsi="Garamond"/>
          <w:sz w:val="24"/>
          <w:szCs w:val="24"/>
        </w:rPr>
        <w:t xml:space="preserve">: </w:t>
      </w:r>
      <w:r>
        <w:rPr>
          <w:rFonts w:ascii="Garamond" w:eastAsia="Calibri" w:hAnsi="Garamond"/>
          <w:sz w:val="24"/>
          <w:szCs w:val="24"/>
        </w:rPr>
        <w:t>az adminisztratív terhek tekintetében nem eredményez változást. A településen eddig sem került sor vasárnap házasságkötésre. A hivatali időn kívüli házasságkötések jellemzően szombati napokon kerültek megtartásra.</w:t>
      </w:r>
    </w:p>
    <w:p w:rsidR="00DF3F98" w:rsidRPr="006251B2" w:rsidRDefault="00DF3F98" w:rsidP="00DF3F98">
      <w:pPr>
        <w:tabs>
          <w:tab w:val="right" w:pos="5160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color w:val="000000"/>
          <w:sz w:val="24"/>
          <w:szCs w:val="24"/>
        </w:rPr>
      </w:pP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b) </w:t>
      </w:r>
      <w:proofErr w:type="gramStart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color w:val="000000"/>
          <w:sz w:val="24"/>
          <w:szCs w:val="24"/>
          <w:u w:val="single"/>
        </w:rPr>
        <w:t xml:space="preserve"> jogszabály megalkotásának szükségessége, a jogalkotás elmaradásának várható következményei</w:t>
      </w:r>
      <w:r w:rsidRPr="007D6A8F">
        <w:rPr>
          <w:rFonts w:ascii="Garamond" w:eastAsia="Calibri" w:hAnsi="Garamond"/>
          <w:color w:val="000000"/>
          <w:sz w:val="24"/>
          <w:szCs w:val="24"/>
        </w:rPr>
        <w:t xml:space="preserve">: </w:t>
      </w:r>
      <w:r>
        <w:rPr>
          <w:rFonts w:ascii="Garamond" w:eastAsia="Calibri" w:hAnsi="Garamond"/>
          <w:color w:val="000000"/>
          <w:sz w:val="24"/>
          <w:szCs w:val="24"/>
        </w:rPr>
        <w:t xml:space="preserve">Az </w:t>
      </w:r>
      <w:proofErr w:type="spellStart"/>
      <w:r>
        <w:rPr>
          <w:rFonts w:ascii="Garamond" w:eastAsia="Calibri" w:hAnsi="Garamond"/>
          <w:color w:val="000000"/>
          <w:sz w:val="24"/>
          <w:szCs w:val="24"/>
        </w:rPr>
        <w:t>At</w:t>
      </w:r>
      <w:proofErr w:type="spellEnd"/>
      <w:r>
        <w:rPr>
          <w:rFonts w:ascii="Garamond" w:eastAsia="Calibri" w:hAnsi="Garamond"/>
          <w:color w:val="000000"/>
          <w:sz w:val="24"/>
          <w:szCs w:val="24"/>
        </w:rPr>
        <w:t xml:space="preserve">. </w:t>
      </w:r>
      <w:proofErr w:type="gramStart"/>
      <w:r>
        <w:rPr>
          <w:rFonts w:ascii="Garamond" w:eastAsia="Calibri" w:hAnsi="Garamond"/>
          <w:color w:val="000000"/>
          <w:sz w:val="24"/>
          <w:szCs w:val="24"/>
        </w:rPr>
        <w:t>megváltozott</w:t>
      </w:r>
      <w:proofErr w:type="gramEnd"/>
      <w:r>
        <w:rPr>
          <w:rFonts w:ascii="Garamond" w:eastAsia="Calibri" w:hAnsi="Garamond"/>
          <w:color w:val="000000"/>
          <w:sz w:val="24"/>
          <w:szCs w:val="24"/>
        </w:rPr>
        <w:t xml:space="preserve"> szabályainak történő megfelelés.</w:t>
      </w:r>
    </w:p>
    <w:p w:rsidR="00DF3F98" w:rsidRPr="007D6A8F" w:rsidRDefault="00DF3F98" w:rsidP="00DF3F9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  <w:r w:rsidRPr="007D6A8F">
        <w:rPr>
          <w:rFonts w:ascii="Garamond" w:eastAsia="Calibri" w:hAnsi="Garamond"/>
          <w:sz w:val="24"/>
          <w:szCs w:val="24"/>
        </w:rPr>
        <w:t xml:space="preserve">c) </w:t>
      </w:r>
      <w:proofErr w:type="gramStart"/>
      <w:r w:rsidRPr="007D6A8F">
        <w:rPr>
          <w:rFonts w:ascii="Garamond" w:eastAsia="Calibri" w:hAnsi="Garamond"/>
          <w:sz w:val="24"/>
          <w:szCs w:val="24"/>
          <w:u w:val="single"/>
        </w:rPr>
        <w:t>A</w:t>
      </w:r>
      <w:proofErr w:type="gramEnd"/>
      <w:r w:rsidRPr="007D6A8F">
        <w:rPr>
          <w:rFonts w:ascii="Garamond" w:eastAsia="Calibri" w:hAnsi="Garamond"/>
          <w:sz w:val="24"/>
          <w:szCs w:val="24"/>
          <w:u w:val="single"/>
        </w:rPr>
        <w:t xml:space="preserve"> jogszabály alkalmazásához szükséges személyi, szervezeti, tárgyi és pénzügyi feltételek</w:t>
      </w:r>
      <w:r w:rsidRPr="007D6A8F">
        <w:rPr>
          <w:rFonts w:ascii="Garamond" w:eastAsia="Calibri" w:hAnsi="Garamond"/>
          <w:sz w:val="24"/>
          <w:szCs w:val="24"/>
        </w:rPr>
        <w:t>: Különös feltételek nincsenek, illetőleg rendelkezésre állnak.</w:t>
      </w:r>
    </w:p>
    <w:p w:rsidR="001C4EAF" w:rsidRDefault="001C4EAF"/>
    <w:sectPr w:rsidR="001C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B3EED"/>
    <w:multiLevelType w:val="hybridMultilevel"/>
    <w:tmpl w:val="779C1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98"/>
    <w:rsid w:val="001C4EAF"/>
    <w:rsid w:val="00D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143F"/>
  <w15:chartTrackingRefBased/>
  <w15:docId w15:val="{BFAAD071-B39B-481F-B9E0-6FF6C3C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F9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3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2021-01-28T08:31:00Z</dcterms:created>
  <dcterms:modified xsi:type="dcterms:W3CDTF">2021-01-28T08:32:00Z</dcterms:modified>
</cp:coreProperties>
</file>