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96" w:rsidRPr="00E13457" w:rsidRDefault="00397F96" w:rsidP="00397F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1. sz. melléklet a 7/2014. (IV.15.) számú önkormányzati rendelethez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A szociális törvény 115. § (2) bekezdése alapján a kötelezett által fizetendő térítési díj (személyi térítési díj) összegét az intézményvezető konkrét összegben állapítja meg, és arról az ellátást igénylőt az ellátás igénybevételét megelőzően írásban tájékoztatja.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Vámospércs Város </w:t>
      </w:r>
      <w:proofErr w:type="spell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Mikrotérségi</w:t>
      </w:r>
      <w:proofErr w:type="spell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Intézményfenntartó Társulása, Szociális Szolgáltató Központ, valamint Vámospércsi Óvoda bölcsődései vonatkozásában alkalmazandó intézményi térítési díjak 2014. évi megállapításához a szolgáltatási önköltséget Magyarország 2014. évi központi költségvetéséről szóló 2013. évi CCXXX. törvényben meghatározott normatívák alapján határozták meg az intézmények, az alábbiak szerint: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 házi segítségnyújtást –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Szociális törvény 63. §</w:t>
      </w:r>
      <w:proofErr w:type="spell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-ában</w:t>
      </w:r>
      <w:proofErr w:type="spell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foglaltakra – 4,5 fő gondozónő foglalkoztatásával végzi. 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before="180" w:after="0" w:line="240" w:lineRule="atLeast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Magyarország 2013. évi központi költségvetéséről szóló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2013. évi CCXXX. Törvény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3. Egyes szociális és gyermekjóléti feladatok támogatása fejezetének d.) pontjában rögzítettek szerint házi segítségnyújtás támogatására 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az a települési önkormányzat jogosult, amely a házi segítségnyújtást a </w:t>
      </w:r>
      <w:proofErr w:type="spell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Szoc</w:t>
      </w:r>
      <w:proofErr w:type="spell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. tv. 63. §</w:t>
      </w:r>
      <w:proofErr w:type="spell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-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</w:t>
      </w:r>
      <w:proofErr w:type="spellEnd"/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alapján és a külön jogszabályban foglalt szakmai szabályoknak megfelelően működteti.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before="180" w:after="0" w:line="240" w:lineRule="atLeast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tLeast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0" w:name="pr3108"/>
      <w:bookmarkEnd w:id="0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 támogatás a települési önkormányzatot a házi segítségnyújtás keretében ellátott személyek száma szerint illeti meg. A támogatás legfeljebb egymást követő 60 napig igényelhető arra az ellátotti létszámra is, amely a külön jogszabályban foglalt szociális gondozói létszámra meghatározott maximális ellátotti számot meghaladja.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tLeast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" w:name="pr3109"/>
      <w:bookmarkEnd w:id="1"/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tLeast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Az ellátottak számának meghatározása: tervezéskor az ellátottak éves becsült száma, elszámoláskor a házi segítségnyújtásban részesülők gondozási naplója alapján naponta összesített ellátottak száma osztva 251-gyel. Egy ellátott naponta csak egyszer vehető figyelembe.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2" w:name="pr3110"/>
      <w:bookmarkEnd w:id="2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Amennyiben a házi segítségnyújtás feladatának ellátásáról - a Kiegészítő szabályoknak megfelelő - társulás gondoskodik, úgy az ellátottak után a fajlagos összeg 110%-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igényelhető.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Fentiek figyelembevételével a feladatellátás során a számított önköltség 2014. évre az alábbiak szerint alakul: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1"/>
        <w:gridCol w:w="4589"/>
      </w:tblGrid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Személyi juttatások: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6 767 000 Ft</w:t>
            </w:r>
          </w:p>
        </w:tc>
      </w:tr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Járulékok: </w:t>
            </w: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ab/>
            </w: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ab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1 827 000 Ft</w:t>
            </w:r>
          </w:p>
        </w:tc>
      </w:tr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Dologi kiadások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77 000 Ft</w:t>
            </w:r>
          </w:p>
        </w:tc>
      </w:tr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  <w:t xml:space="preserve">Kiadások összesen: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  <w:t xml:space="preserve">8 671 000 Ft </w:t>
            </w:r>
          </w:p>
        </w:tc>
      </w:tr>
    </w:tbl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Ellátottak száma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(2013. évi tényadatok alapján, figyelemmel arra, hogy 2013. június 1-jétől e feladatokat Fülöp önállóan látja el):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  <w:t xml:space="preserve"> 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31 fő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Foglalkoztatottak száma a házi segítségnyújtás tárgykörében: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3 fő 8 órában foglalkoztatott gondozónő + 2 fő 6 órában foglalkoztatott gondozónő =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4,5 fő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(8 órában foglalkoztatottra átszámítva)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Gondozási óra: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4,5 fő * 251 nap * 8 óra =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9 036 óra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lastRenderedPageBreak/>
        <w:t xml:space="preserve">Szolgáltatási önköltség: 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összes kiadás: gondozási óra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8 671 000 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Ft :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9 036 óra =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959,61 Ft/óra/fő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Normatív állami támogatás: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Fajlagos összeg: 145 000 Ft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Ellátottak száma * 145 000 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Ft :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gondozási óra = 1 főre jutó normatív állami támogatás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31 fő * 145 000 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Ft :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9 036 óra = 497,45 Ft/óra/fő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feladatellátás társulás keretében történik, ezért kiegészítő (+ 10 %) normatíva is figyelembe vehető az alábbiak szerint: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31 fő *14 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500 :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9 036 óra = 49,75 Ft /óra/fő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Összes normatíva 547,20 Ft/óra/fő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Térítési díj Ft/óra/fő = szolgáltatási önköltség - normatíva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959,61 Ft – 547,20 Ft = 412,41 Ft/óra/fő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házi segítségnyújtás feladatellátásához kapcsolódóan 412,41 Ft/óra/fő összeg megfizetését lehet kérni 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ezen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feladathoz kapcsolódóan.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(2013. évben ez az összeg 135 Ft/óra/fő volt. A 2014. évi háromszoros növekedés oka, hogy a feladatellátáshoz kapcsolódóan az ellátottak száma közel felére csökkent, továbbá a kiegészítő normatíva 30 %-ról 10 %-ra csökkent.)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kialakult gyakorlat szerint a házi segítségnyújtást igénybevevők a feladatellátásért térítési díjat nem fizetnek.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2. ) Jelzőrendszeres házi segítségnyújtás: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jelzőrendszeres házi segítségnyújtás önkormányzati alapfeladatát 51 db készülék kihelyezésével látja el a Családsegítő Szolgálat. 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before="300" w:after="120" w:line="240" w:lineRule="auto"/>
        <w:ind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feladatellátást a szociális törvény, valamint a személyes gondoskodást nyújtó szociális intézmények szakmai feladatairól és működésük feltételeiről szóló </w:t>
      </w:r>
      <w:r w:rsidRPr="00E13457">
        <w:rPr>
          <w:rFonts w:ascii="Times New Roman" w:eastAsia="Lucida Sans Unicode" w:hAnsi="Times New Roman"/>
          <w:bCs/>
          <w:color w:val="222222"/>
          <w:kern w:val="1"/>
          <w:sz w:val="24"/>
          <w:szCs w:val="24"/>
          <w:lang w:eastAsia="ar-SA"/>
        </w:rPr>
        <w:t xml:space="preserve">1/2000.(I.7.) </w:t>
      </w:r>
      <w:proofErr w:type="spellStart"/>
      <w:r w:rsidRPr="00E13457">
        <w:rPr>
          <w:rFonts w:ascii="Times New Roman" w:eastAsia="Lucida Sans Unicode" w:hAnsi="Times New Roman"/>
          <w:bCs/>
          <w:color w:val="222222"/>
          <w:kern w:val="1"/>
          <w:sz w:val="24"/>
          <w:szCs w:val="24"/>
          <w:lang w:eastAsia="ar-SA"/>
        </w:rPr>
        <w:t>SzCsM</w:t>
      </w:r>
      <w:proofErr w:type="spellEnd"/>
      <w:r w:rsidRPr="00E13457">
        <w:rPr>
          <w:rFonts w:ascii="Times New Roman" w:eastAsia="Lucida Sans Unicode" w:hAnsi="Times New Roman"/>
          <w:bCs/>
          <w:color w:val="222222"/>
          <w:kern w:val="1"/>
          <w:sz w:val="24"/>
          <w:szCs w:val="24"/>
          <w:lang w:eastAsia="ar-SA"/>
        </w:rPr>
        <w:t xml:space="preserve"> rendelet 28. §</w:t>
      </w:r>
      <w:proofErr w:type="spellStart"/>
      <w:r w:rsidRPr="00E13457">
        <w:rPr>
          <w:rFonts w:ascii="Times New Roman" w:eastAsia="Lucida Sans Unicode" w:hAnsi="Times New Roman"/>
          <w:bCs/>
          <w:color w:val="222222"/>
          <w:kern w:val="1"/>
          <w:sz w:val="24"/>
          <w:szCs w:val="24"/>
          <w:lang w:eastAsia="ar-SA"/>
        </w:rPr>
        <w:t>-a</w:t>
      </w:r>
      <w:proofErr w:type="spellEnd"/>
      <w:r w:rsidRPr="00E13457">
        <w:rPr>
          <w:rFonts w:ascii="Times New Roman" w:eastAsia="Lucida Sans Unicode" w:hAnsi="Times New Roman"/>
          <w:bCs/>
          <w:color w:val="222222"/>
          <w:kern w:val="1"/>
          <w:sz w:val="24"/>
          <w:szCs w:val="24"/>
          <w:lang w:eastAsia="ar-SA"/>
        </w:rPr>
        <w:t xml:space="preserve"> tartalmazza.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bookmarkStart w:id="3" w:name="pr2"/>
      <w:bookmarkEnd w:id="3"/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A szociális törvény 65. §</w:t>
      </w:r>
      <w:proofErr w:type="spell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-a</w:t>
      </w:r>
      <w:proofErr w:type="spell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kiegészült a (7) bekezdéssel, melynek értelmében a feladat ellátása állami feladat. A 65. § (1) bekezdésből pedig törlésre kerültek a szolgáltatás biztosításának módjára vonatkozó részletszabályok, a (3) bekezdés pedig úgy módosult, hogy előírásra került az ellátott idős célcsoport.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Szociális és Gyermekvédelmi Főigazgatóságról szóló 316/2012. (XI. 13.) Kormányrendeletben foglaltak szerint a jelzőrendszeres házi segítségnyújtást a Főigazgatóság biztosítja, figyelemmel a </w:t>
      </w:r>
      <w:proofErr w:type="spell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Szoc</w:t>
      </w:r>
      <w:proofErr w:type="spell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. tv. 91. § (2) bekezdésében rögzítettekre is.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 feladatellátás során a számított önköltség 2013. évre az alábbiak szerint alakul: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1"/>
        <w:gridCol w:w="4589"/>
      </w:tblGrid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Személyi juttatások: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1 679 000 Ft</w:t>
            </w:r>
          </w:p>
        </w:tc>
      </w:tr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Járulékok: </w:t>
            </w: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ab/>
            </w: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ab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459 000 Ft</w:t>
            </w:r>
          </w:p>
        </w:tc>
      </w:tr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lastRenderedPageBreak/>
              <w:t xml:space="preserve">Dologi kiadások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1 450 000 Ft</w:t>
            </w:r>
          </w:p>
        </w:tc>
      </w:tr>
      <w:tr w:rsidR="00397F96" w:rsidRPr="00E13457" w:rsidTr="002641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  <w:t xml:space="preserve">Kiadások összesen: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  <w:t>3 606 000 Ft</w:t>
            </w:r>
          </w:p>
        </w:tc>
      </w:tr>
    </w:tbl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Ellátottak száma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(2013. évi tényadatok alapján): 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51 fő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Támogatás: 1 713 216 Ft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Térítési díj számított adata összesen: 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3 606 000 Ft – 1 713 216 Ft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=1 892 704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1 ellátottra jutó térítési díj: 1 892 704 Ft: 51 fő (készülék):365 nap =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101,68 Ft/fő/nap/készülék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jelzőrendszeres házi segítségnyújtás feladatellátásához kapcsolódóan 100 Ft/fő/nap/készülék összeg megfizetését lehet kérni 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ezen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feladathoz kapcsolódóan.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kialakult gyakorlat szerint a jelzőrendszeres házi segítségnyújtást igénybevevők a feladatellátásért térítési díjat nem fizetnek.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3. ) Szociális étkeztetés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 támogatás a települési önkormányzatnak a szociális törvény 62. §</w:t>
      </w:r>
      <w:proofErr w:type="spell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-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</w:t>
      </w:r>
      <w:proofErr w:type="spellEnd"/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alapján, és a külön jogszabályban foglalt szakmai szabályoknak megfelelően nyújtott szociális étkeztetés feladataihoz kapcsolódik.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 támogatás a települési önkormányzatot a szociális étkeztetésben ellátottak száma szerint illeti meg.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Szociális étkeztetés: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 szociális étkeztetés 2014. évi tervezett önköltsége: 20 062 028,40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Tervezett ellátottak száma 2014. évben: 120 fő/251 munkanap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Önköltség= tervezett önköltség 2014. évre/tervezett ellátottak száma 2014. évben=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20 062 028,40 Ft/120 fő/251munkanap= 666,07 Ft/nap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Normatív támogatás: 55 360 Ft/fő/év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Intézményi térítési díj: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Önköltség: a 2014. évi tervezett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önköltség 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  20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 062 028,40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Normatíva: 55 360 Ft x 2014. évben tervezett ellátottak száma (120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fő )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>: 6 643 200 Ft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A kettő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különbözete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     13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 418 828,40 Ft /2014. évi tervezett ellátottak száma 120 fő/251 nap =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445,51 Ft/fő/nap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szociális étkeztetés  feladatellátásához kapcsolódóan 445 Ft/óra/fő összeg megfizetését lehet kérni 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ezen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feladathoz kapcsolódóan.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A kialakult gyakorlat szerint a  szociális étkeztetést igénybevevők a feladatellátásért  340 Ft/fő/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adag térítési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díjat fizetnek.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A szociális törvény 115. § (10) bekezdésében foglaltak alapján a fenntartó az intézményi térítési díjat a fentiek szerint kiszámított, és külön jogszabály szerint dokumentált intézményi térítési díjnál alacsonyabb összegben is meghatározhatja.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lastRenderedPageBreak/>
        <w:t xml:space="preserve">Azon ellátást igénybe vevők, akik a nappali ellátás keretében ebédelnek, azok esetében a szociális étkeztetés intézményi térítési díjával azonos intézményi térítési díjat javaslunk megállapítani az étkeztetésre vonatkozóan.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4. ) Ebéd kiszállítása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A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szállítási szolgáltatásnak normatív támogatása nincs.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Tervezett ellátotti létszám 2014. évben: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75 fő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Szállítási költség: 2 183 875 Ft* /75 fő/251 munkanap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= 116 Ft/Fő/nap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* </w:t>
      </w:r>
      <w:r w:rsidRPr="00E13457">
        <w:rPr>
          <w:rFonts w:ascii="Times New Roman" w:eastAsia="Lucida Sans Unicode" w:hAnsi="Times New Roman"/>
          <w:i/>
          <w:kern w:val="1"/>
          <w:sz w:val="24"/>
          <w:szCs w:val="24"/>
          <w:lang w:eastAsia="ar-SA"/>
        </w:rPr>
        <w:t>gépkocsivezető bére 1 727 200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i/>
          <w:kern w:val="1"/>
          <w:sz w:val="24"/>
          <w:szCs w:val="24"/>
          <w:lang w:eastAsia="ar-SA"/>
        </w:rPr>
        <w:t xml:space="preserve">   </w:t>
      </w:r>
      <w:proofErr w:type="gramStart"/>
      <w:r w:rsidRPr="00E13457">
        <w:rPr>
          <w:rFonts w:ascii="Times New Roman" w:eastAsia="Lucida Sans Unicode" w:hAnsi="Times New Roman"/>
          <w:i/>
          <w:kern w:val="1"/>
          <w:sz w:val="24"/>
          <w:szCs w:val="24"/>
          <w:lang w:eastAsia="ar-SA"/>
        </w:rPr>
        <w:t>üzemanyag</w:t>
      </w:r>
      <w:proofErr w:type="gramEnd"/>
      <w:r w:rsidRPr="00E13457">
        <w:rPr>
          <w:rFonts w:ascii="Times New Roman" w:eastAsia="Lucida Sans Unicode" w:hAnsi="Times New Roman"/>
          <w:i/>
          <w:kern w:val="1"/>
          <w:sz w:val="24"/>
          <w:szCs w:val="24"/>
          <w:lang w:eastAsia="ar-SA"/>
        </w:rPr>
        <w:t xml:space="preserve"> költség tapasztalati adatok alapján 1 087,32 liter üzemanyag (havi 90,61 liter*12 hónap) x420 Ft(átlag üzemanyagárral számolva 456 675 Ft összesen: 2 183 875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Az ebéd kiszállítás feladatellátásához kapcsolódóan 116 Ft/fő/nap összeg megfizetését lehet kérni 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ezen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feladathoz kapcsolódóan.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kialakult gyakorlat szerint a szociális étkeztetést igénybevevők a feladatellátásért 65 Ft/fő/nap térítési díjat fizetnek.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5.) </w:t>
      </w:r>
      <w:proofErr w:type="gramStart"/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Idős korúak</w:t>
      </w:r>
      <w:proofErr w:type="gramEnd"/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 nappali intézményi ellátása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 támogatást azok a települési önkormányzatok vehetik igénybe, amelyek a szociális törvény 65/F. §</w:t>
      </w:r>
      <w:proofErr w:type="spell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-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</w:t>
      </w:r>
      <w:proofErr w:type="spellEnd"/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alapján és külön jogszabályban foglalt szakmai szabályoknak megfelelően időskorúak nappali ellátását biztosító intézményt tartanak fenn. A támogatás az önkormányzatot az ellátottak száma szerint illeti meg. Nem vehetők figyelembe a kizárólag étkeztetésben részesülők. 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Nappali ellátást nyújtó idősek klubja étkezés nélkül: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2014. évi tervezett önköltség: 1 635 000 Ft/év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Tervezett ellátotti létszám 2014. évben 10 fő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Normatív támogatás: 109.000 Ft/fő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Normatív támogatás: 109 000 Ft x 10 fő= 1 090 000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Intézményi térítési díj: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Önköltség: 1 635 000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Normatíva: 109 000 Ft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x  10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fő tervezett ellátotti létszám =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>1 090 000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A kettő különbözete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545 000 Ft/10 fő tervezett létszám/251 munkanap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= 217,13 Ft/nap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Az idős korúak nappali intézményi ellátása  feladatellátásához kapcsolódóan 220  Ft /fő összeg megfizetését lehet kérni 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ezen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feladathoz kapcsolódóan.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kialakult gyakorlat szerint a nappali intézményi ellátást igénybevevők a 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feladatellátásért  térítési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díjat nem fizetnek.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6. ) Támogató Szolgálat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2014. évi tervezett szállítási költség *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5 219 975 Ft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az összes költség 50,99 %-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2014. évi tervezett személyi segítés költsége:**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>5 017 225 Ft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az összes költség 49,01 %-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</w:t>
      </w:r>
      <w:proofErr w:type="gramEnd"/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2014. évi költségvetésben tervezett költség összesen: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ab/>
        <w:t>10 237 200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 xml:space="preserve">2014. évi működési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támogatás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      -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>10 076 500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Fennmaradó költség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160 700 Ft, melyből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A személyi szállítás arányos költsége: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81 941 Ft, az összes költség 50,99 %-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Személyi segítés arányos költsége: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78 759 Ft, az összes költség 49,01 %-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</w:t>
      </w:r>
      <w:proofErr w:type="gramEnd"/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Személyi szállítás intézményi térítési díja: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2014. évre vállalt feladatmutató 4 193 egység, melyből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szállításra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megítélt: 2 619 egység x 5 km = 13 095 km + 16 095 km (szociálisan nem rászorult)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Összesen 2014. évre tervezett km: 29 190 km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km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díjszámítása: 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 xml:space="preserve">személyi szállítás arányos költsége: 81 941 Ft 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=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2,81 Ft/km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 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vállalt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tervezett hasznos km: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  29 190 Ft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Személyi segítés intézményi térítési díja: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Alapja: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78 759 Ft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Munkaóra: 2,5 főt számolva (2,5 fő x8 óra x 251 nap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)  5020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óra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Egy munkaórára eső költség: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 xml:space="preserve">78 759 Ft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=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15,69 Ft/munkaóra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5 020 óra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*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2014. évi költségvetésben tervezetten: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gépkocsivezető bére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1 412 000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munkaadót terhelő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járulékok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615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 375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támogató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szolgálat vezető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bérének 50 %-a    920 100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üzemanyag költség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1 260 000 Ft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karbantartási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költség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800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kötelező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biztosítás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 30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egyéb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 22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 500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áfa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 xml:space="preserve">   160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> 000 Ft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proofErr w:type="gramStart"/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összesen</w:t>
      </w:r>
      <w:proofErr w:type="gramEnd"/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: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ab/>
        <w:t>5 219 975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**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2014. évi költségvetésben tervezetten: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személyi segítők munkabére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2 824 000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munkaadót terhelő járulékok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1 025 625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támogató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szolgálat vezető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bérének 50 %-a    920 100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szakmai tevékenységet segítő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szolgáltatás     72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 500 Ft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egyéb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  15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áfa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 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>160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u w:val="single"/>
          <w:lang w:eastAsia="ar-SA"/>
        </w:rPr>
        <w:t>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proofErr w:type="gramStart"/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összesen</w:t>
      </w:r>
      <w:proofErr w:type="gramEnd"/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: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ab/>
        <w:t xml:space="preserve">5 017 225 Ft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támogató szolgálat feladatellátásához kapcsolódóan a személyszállításért 5 Ft/km, a személyi segítésért 15 Ft/fő összeg megfizetését lehet kérni.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lastRenderedPageBreak/>
        <w:t xml:space="preserve">A kialakult gyakorlat szerint a személyszállítást és a személyi segítést a szociálisan rászorulók ingyenesen vehették igénybe.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A szociálisan nem rászorulók esetében a szállítás km díja 3</w:t>
      </w:r>
      <w:r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5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Ft, a személyi segítés óradíja pedig 350 Ft volt.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7.) Időskorúak átmeneti és tartós bentlakást nyújtó intézménye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(2013. évtől feladatfinanszírozás történik)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Feladatfinanszírozás keretében a támogatás összege: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20 187 240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Szakfeladat költsége: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>31 987 000 Ft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Ellátottak száma: </w:t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ab/>
        <w:t xml:space="preserve">18 fő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Szolgáltatási önköltség: 31 987 000 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Ft :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18 fő= 1 777 056 Ft/fő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1 777 056 Ft/</w:t>
      </w:r>
      <w:proofErr w:type="gramStart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fő :</w:t>
      </w:r>
      <w:proofErr w:type="gramEnd"/>
      <w:r w:rsidRPr="00E1345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365 nap = </w:t>
      </w:r>
      <w:r w:rsidRPr="00E13457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4 868,60 Ft/fő/nap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Feladatfinanszírozás: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20 187 240 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Ft :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18 fő = 1 121 513,30 Ft/fő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1 121 513,30 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Ft :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365 nap =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3 072,64 Ft/fő/nap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1 főre jutó szolgáltatási önköltség: 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  <w:t>4 868,60 Ft/fő/nap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1 főre jutó támogatás fajlagos összege: 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ab/>
        <w:t>3 072,64 Ft/fő/nap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Különbözet: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  <w:t>1 795,96 Ft/fő/nap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Egy hónapra fizetendő intézményi térítési díj: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  <w:t>53 880 Ft/fő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Egy napra fizetendő intézményi térítési díj: </w:t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</w: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ab/>
        <w:t>1 796 Ft/fő/nap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2013. évben hasonló nagyságrendű (20 187 240 Ft) feladatfinanszírozási normatíva állt rendelkezésre, mint 2014. évben.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5B3A31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5B3A31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Az intézményvezetés a likviditás biztosítása érdekében 2014. május 1-jétől az átlagos ellátást igénybevevők vonatkozásában a 2011. évben megállapított 93 900 Ft/fő/hó, illetve 3 130 Ft/fő/nap, a </w:t>
      </w:r>
      <w:proofErr w:type="spellStart"/>
      <w:r w:rsidRPr="005B3A31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demens</w:t>
      </w:r>
      <w:proofErr w:type="spellEnd"/>
      <w:r w:rsidRPr="005B3A31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betegek bentlakásos intézményi ellátása esetében pedig a </w:t>
      </w:r>
      <w:r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93</w:t>
      </w:r>
      <w:r w:rsidRPr="005B3A31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 </w:t>
      </w:r>
      <w:r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900 Ft/fő/hó, 3</w:t>
      </w:r>
      <w:r w:rsidRPr="005B3A31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 </w:t>
      </w:r>
      <w:r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130</w:t>
      </w:r>
      <w:r w:rsidRPr="005B3A31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Ft/fő/nap intézményi térítési díj megállapítását javasolja. </w:t>
      </w:r>
    </w:p>
    <w:p w:rsidR="00397F96" w:rsidRPr="005B3A31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5B3A31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8.) Bölcsődei önköltség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 gyermekek védelméről és a gyámügyi igazgatásról szóló 1997. évi XXXI. törvény (továbbiakban: Gyvt.) 146. §(1) bekezdése értelmében a személyes gondoskodást nyújtó gyermekjóléti alapellátás keretében biztosított gyermekek napközbeni ellátásáért térítési díjat kell fizetni. A Gyvt. 147. § (1) bekezdése értelmében a fenntartó megállapítja a 146. § (1) bekezdése szerinti ellátások intézményi térítési díját, ami a szolgáltatási önköltség és a normatív állami hozzájárulás különbözete. Az intézményi térítési díjat több szolgáltatás és ellátás nyújtása esetében is szolgáltatásonként kell meghatározni.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 (2) bekezdés alapján a bölcsőde esetében az intézményi térítési díjat külön meg kell határozni a gyermekek gondozására, nevelésére, nappali felügyeletére és a vele történő foglalkozásra, valamint a 151. § (3) bekezdésben foglaltak szerint a gyermekétkeztetésre vonatkozóan.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Az intézményi térítési díjat minden esetben ki kell számolni és azt dokumentálni kell, de ezt követően dönthet a fenntartó úgy, hogy a kiszámított intézményi térítési díjnál alacsonyabb összegben, vagy nullában határozza azt meg.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lastRenderedPageBreak/>
        <w:t xml:space="preserve">A Gyvt. 148. § (2) bekezdése értelmében a bölcsődei ellátás esetében az intézményvezető a bölcsődei ellátás keretében nyújtott gondozásra is megállapíthat személyi térítési díjat.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 szabályozás a fenntartóra bízza annak eldöntését, hogy él-e a lehetőséggel és bevezeti-e a gondozásért kérhető személyi térítési díjat.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Szolgáltatás teljes önköltsége: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tbl>
      <w:tblPr>
        <w:tblW w:w="0" w:type="auto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6"/>
        <w:gridCol w:w="2424"/>
      </w:tblGrid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Dolgozók bére (5 </w:t>
            </w:r>
            <w:proofErr w:type="gramStart"/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fő )</w:t>
            </w:r>
            <w:proofErr w:type="gramEnd"/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11 113 055 Ft</w:t>
            </w:r>
          </w:p>
        </w:tc>
      </w:tr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Járulékok 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2 700 296 Ft</w:t>
            </w:r>
          </w:p>
        </w:tc>
      </w:tr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Dologi kiadások 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158 730 Ft</w:t>
            </w:r>
          </w:p>
        </w:tc>
      </w:tr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  <w:t xml:space="preserve">Összesen: 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b/>
                <w:color w:val="222222"/>
                <w:kern w:val="1"/>
                <w:sz w:val="24"/>
                <w:szCs w:val="24"/>
                <w:lang w:eastAsia="ar-SA"/>
              </w:rPr>
              <w:t>13 972 081 Ft</w:t>
            </w:r>
          </w:p>
        </w:tc>
      </w:tr>
    </w:tbl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Egy gondozási napra jutó kiadás: 13 972 081 </w:t>
      </w:r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Ft :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(5 fő x 251 nap) =11 133 Ft /nap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fenntartó nem él a gondozásért kérhető személyi térítési díj bevezetésével.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9.) A Gyvt. 151. § (1) bekezdés értelmében: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A gyermekétkeztetés szabályait kell alkalmazni: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4" w:name="pr2231"/>
      <w:bookmarkEnd w:id="4"/>
      <w:proofErr w:type="gramStart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a</w:t>
      </w:r>
      <w:proofErr w:type="gramEnd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 bölcsődében, hetes bölcsődében,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5" w:name="pr2232"/>
      <w:bookmarkEnd w:id="5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b)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az óvodában,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6" w:name="pr2233"/>
      <w:bookmarkEnd w:id="6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c)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 nyári napközis otthonban,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7" w:name="pr2234"/>
      <w:bookmarkEnd w:id="7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d)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az általános és középiskolai diákotthonban, kollégiumban, illetve az itt szervezett </w:t>
      </w:r>
      <w:proofErr w:type="spell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externátusi</w:t>
      </w:r>
      <w:proofErr w:type="spell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ellátásban,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8" w:name="pr2235"/>
      <w:bookmarkEnd w:id="8"/>
      <w:proofErr w:type="gramStart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e</w:t>
      </w:r>
      <w:proofErr w:type="gramEnd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az általános iskolai, továbbá - ha külön jogszabály másképpen nem rendelkezik - középfokú iskolai menzai ellátás keretében,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9" w:name="pr2236"/>
      <w:bookmarkStart w:id="10" w:name="pr2237"/>
      <w:bookmarkEnd w:id="9"/>
      <w:bookmarkEnd w:id="10"/>
      <w:proofErr w:type="gramStart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g</w:t>
      </w:r>
      <w:proofErr w:type="gramEnd"/>
      <w:r w:rsidRPr="00E13457">
        <w:rPr>
          <w:rFonts w:ascii="Times New Roman" w:eastAsia="Lucida Sans Unicode" w:hAnsi="Times New Roman"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 szociális nyári gyermekétkeztetés keretében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1" w:name="pr2238"/>
      <w:bookmarkEnd w:id="11"/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nyújtott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étkeztetésre.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2014. évre az élelmiszerféleségek beszerzése tárgykörében – figyelemmel a közbeszerzési értékhatárokra - közbeszerzési eljárás van folyamatban, eredményhirdetésére június hónapban kerül sor. Fentiekre tekintettel a jelenleg alkalmazott térítési díjak módosítása nem indokolt.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 jelenleg is alkalmazott </w:t>
      </w:r>
      <w:proofErr w:type="gramStart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>nettó térítési</w:t>
      </w:r>
      <w:proofErr w:type="gramEnd"/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 díjak az alábbiak: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tbl>
      <w:tblPr>
        <w:tblW w:w="0" w:type="auto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6"/>
        <w:gridCol w:w="2424"/>
      </w:tblGrid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Óvoda (3x-i étkezés) 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240 Ft</w:t>
            </w:r>
          </w:p>
        </w:tc>
      </w:tr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Általános iskola napközi (3x-i étkezés)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304 Ft</w:t>
            </w:r>
          </w:p>
        </w:tc>
      </w:tr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Menza 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200 Ft</w:t>
            </w:r>
          </w:p>
        </w:tc>
      </w:tr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Dolgozók 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50 Ft</w:t>
            </w:r>
          </w:p>
        </w:tc>
      </w:tr>
      <w:tr w:rsidR="00397F96" w:rsidRPr="00E13457" w:rsidTr="002641E9">
        <w:tc>
          <w:tcPr>
            <w:tcW w:w="2856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 xml:space="preserve">Vendégebéd </w:t>
            </w:r>
          </w:p>
        </w:tc>
        <w:tc>
          <w:tcPr>
            <w:tcW w:w="2424" w:type="dxa"/>
          </w:tcPr>
          <w:p w:rsidR="00397F96" w:rsidRPr="00E13457" w:rsidRDefault="00397F96" w:rsidP="002641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</w:pPr>
            <w:r w:rsidRPr="00E13457">
              <w:rPr>
                <w:rFonts w:ascii="Times New Roman" w:eastAsia="Lucida Sans Unicode" w:hAnsi="Times New Roman"/>
                <w:color w:val="222222"/>
                <w:kern w:val="1"/>
                <w:sz w:val="24"/>
                <w:szCs w:val="24"/>
                <w:lang w:eastAsia="ar-SA"/>
              </w:rPr>
              <w:t>300 Ft</w:t>
            </w:r>
          </w:p>
        </w:tc>
      </w:tr>
    </w:tbl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  <w:t xml:space="preserve">Az 5 fő bölcsődés az Óvoda 3x-i étkezésének térítési díját fizeti. 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 térítési díj megállapítása során Gyvt. 151. §</w:t>
      </w:r>
      <w:proofErr w:type="spell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-ában</w:t>
      </w:r>
      <w:proofErr w:type="spell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foglaltak szerint kell eljárni: 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(5) Gyermekétkeztetés esetén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2" w:name="pr2253"/>
      <w:bookmarkEnd w:id="12"/>
      <w:proofErr w:type="gram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</w:t>
      </w:r>
      <w:proofErr w:type="gram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 rendszeres gyermekvédelmi kedvezményben részesülő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660"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3" w:name="pr2254"/>
      <w:bookmarkEnd w:id="13"/>
      <w:proofErr w:type="spell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aa</w:t>
      </w:r>
      <w:proofErr w:type="spell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bölcsődés,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660"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4" w:name="pr2255"/>
      <w:bookmarkEnd w:id="14"/>
      <w:proofErr w:type="gram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ab</w:t>
      </w:r>
      <w:proofErr w:type="gram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óvodás,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660"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5" w:name="pr2256"/>
      <w:bookmarkEnd w:id="15"/>
      <w:proofErr w:type="spell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lastRenderedPageBreak/>
        <w:t>ac</w:t>
      </w:r>
      <w:proofErr w:type="spell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1-8. évfolyamon nappali rendszerű iskolai oktatásban részt vevő,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660"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6" w:name="pr2257"/>
      <w:bookmarkEnd w:id="16"/>
      <w:proofErr w:type="gram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ad</w:t>
      </w:r>
      <w:proofErr w:type="gram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fogyatékos gyermekek számára nappali ellátást nyújtó, az Szt. hatálya alá tartozó intézményben elhelyezett, </w:t>
      </w:r>
      <w:proofErr w:type="spell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aa</w:t>
      </w:r>
      <w:proofErr w:type="spell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</w:t>
      </w:r>
      <w:proofErr w:type="spell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-ac</w:t>
      </w:r>
      <w:proofErr w:type="spell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alpont szerinti életkorú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480"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7" w:name="pr2258"/>
      <w:bookmarkEnd w:id="17"/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gyermek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után az intézményi térítési díj 100%-át,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8" w:name="pr2259"/>
      <w:bookmarkEnd w:id="18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b)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az </w:t>
      </w:r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pont alá nem tartozó, rendszeres gyermekvédelmi kedvezményben részesülő gyermek és tanuló után az intézményi térítési díj 50%-át,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19" w:name="pr2260"/>
      <w:bookmarkEnd w:id="19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c)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három- vagy többgyermekes családoknál gyermekenként az intézményi térítési díj 50%-át,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20" w:name="pr2261"/>
      <w:bookmarkEnd w:id="20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d)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az </w:t>
      </w:r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ad)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alpont alá nem tartozó, tartósan beteg vagy fogyatékos gyermek, tanuló után az intézményi térítési díj 50%-át,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/>
        <w:jc w:val="both"/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</w:pPr>
      <w:bookmarkStart w:id="21" w:name="pr2262"/>
      <w:bookmarkEnd w:id="21"/>
      <w:proofErr w:type="gramStart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kedvezményként</w:t>
      </w:r>
      <w:proofErr w:type="gramEnd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 xml:space="preserve"> kell biztosítani [az </w:t>
      </w:r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a)</w:t>
      </w:r>
      <w:proofErr w:type="spellStart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-e</w:t>
      </w:r>
      <w:proofErr w:type="spellEnd"/>
      <w:r w:rsidRPr="00E13457">
        <w:rPr>
          <w:rFonts w:ascii="Times New Roman" w:eastAsia="Lucida Sans Unicode" w:hAnsi="Times New Roman"/>
          <w:i/>
          <w:iCs/>
          <w:color w:val="222222"/>
          <w:kern w:val="1"/>
          <w:sz w:val="24"/>
          <w:szCs w:val="24"/>
          <w:lang w:eastAsia="ar-SA"/>
        </w:rPr>
        <w:t>) </w:t>
      </w:r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pont a továbbiakban együtt: normatív kedvezmény].</w:t>
      </w:r>
    </w:p>
    <w:p w:rsidR="00397F96" w:rsidRPr="00E13457" w:rsidRDefault="00397F96" w:rsidP="00397F96">
      <w:pPr>
        <w:widowControl w:val="0"/>
        <w:shd w:val="clear" w:color="auto" w:fill="FFFFFF"/>
        <w:suppressAutoHyphens/>
        <w:spacing w:after="0" w:line="240" w:lineRule="auto"/>
        <w:ind w:left="150" w:right="150" w:firstLine="240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  <w:bookmarkStart w:id="22" w:name="pr2263"/>
      <w:bookmarkEnd w:id="22"/>
      <w:r w:rsidRPr="00E13457">
        <w:rPr>
          <w:rFonts w:ascii="Times New Roman" w:eastAsia="Lucida Sans Unicode" w:hAnsi="Times New Roman"/>
          <w:color w:val="222222"/>
          <w:kern w:val="1"/>
          <w:sz w:val="24"/>
          <w:szCs w:val="24"/>
          <w:lang w:eastAsia="ar-SA"/>
        </w:rPr>
        <w:t>(6) A normatív kedvezmény csak egy jogcímen vehető igénybe.</w:t>
      </w:r>
    </w:p>
    <w:p w:rsidR="00397F96" w:rsidRPr="00E13457" w:rsidRDefault="00397F96" w:rsidP="00397F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222222"/>
          <w:kern w:val="1"/>
          <w:sz w:val="24"/>
          <w:szCs w:val="24"/>
          <w:lang w:eastAsia="ar-SA"/>
        </w:rPr>
      </w:pPr>
    </w:p>
    <w:p w:rsidR="00397F96" w:rsidRDefault="00397F96" w:rsidP="00397F96"/>
    <w:p w:rsidR="008F420B" w:rsidRDefault="00397F96"/>
    <w:sectPr w:rsidR="008F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228"/>
    <w:multiLevelType w:val="hybridMultilevel"/>
    <w:tmpl w:val="0FDE2F4A"/>
    <w:lvl w:ilvl="0" w:tplc="049AF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F96"/>
    <w:rsid w:val="001B547A"/>
    <w:rsid w:val="00397F96"/>
    <w:rsid w:val="004059D7"/>
    <w:rsid w:val="0070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F9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2053</Words>
  <Characters>14170</Characters>
  <Application>Microsoft Office Word</Application>
  <DocSecurity>0</DocSecurity>
  <Lines>118</Lines>
  <Paragraphs>32</Paragraphs>
  <ScaleCrop>false</ScaleCrop>
  <Company/>
  <LinksUpToDate>false</LinksUpToDate>
  <CharactersWithSpaces>16191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Danó János</dc:creator>
  <cp:lastModifiedBy>Dr. Danó János</cp:lastModifiedBy>
  <cp:revision>1</cp:revision>
  <dcterms:created xsi:type="dcterms:W3CDTF">2014-04-18T06:23:00Z</dcterms:created>
  <dcterms:modified xsi:type="dcterms:W3CDTF">2014-04-18T06:23:00Z</dcterms:modified>
</cp:coreProperties>
</file>