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9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892"/>
      </w:tblGrid>
      <w:tr w:rsidR="001079F1" w:rsidRPr="006544F9" w:rsidTr="00E10BA9">
        <w:trPr>
          <w:trHeight w:val="255"/>
        </w:trPr>
        <w:tc>
          <w:tcPr>
            <w:tcW w:w="1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9F1" w:rsidRDefault="001079F1" w:rsidP="00E10BA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  <w:tbl>
            <w:tblPr>
              <w:tblW w:w="13940" w:type="dxa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741"/>
              <w:gridCol w:w="3157"/>
              <w:gridCol w:w="1126"/>
              <w:gridCol w:w="767"/>
              <w:gridCol w:w="160"/>
              <w:gridCol w:w="1687"/>
              <w:gridCol w:w="1529"/>
              <w:gridCol w:w="2252"/>
              <w:gridCol w:w="81"/>
              <w:gridCol w:w="918"/>
              <w:gridCol w:w="1522"/>
            </w:tblGrid>
            <w:tr w:rsidR="001079F1" w:rsidRPr="00136F59" w:rsidTr="00E10BA9">
              <w:trPr>
                <w:trHeight w:val="630"/>
              </w:trPr>
              <w:tc>
                <w:tcPr>
                  <w:tcW w:w="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</w:p>
              </w:tc>
              <w:tc>
                <w:tcPr>
                  <w:tcW w:w="1067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079F1" w:rsidRDefault="001079F1" w:rsidP="00E10BA9">
                  <w:pPr>
                    <w:rPr>
                      <w:rFonts w:ascii="Times New Roman CE" w:hAnsi="Times New Roman CE" w:cs="Times New Roman CE"/>
                      <w:sz w:val="18"/>
                      <w:szCs w:val="18"/>
                    </w:rPr>
                  </w:pPr>
                  <w:r>
                    <w:rPr>
                      <w:rFonts w:ascii="Times New Roman CE" w:hAnsi="Times New Roman CE" w:cs="Times New Roman CE"/>
                      <w:sz w:val="18"/>
                      <w:szCs w:val="18"/>
                    </w:rPr>
                    <w:t>Sóstófalva község Önkormányzat Az önkormányzat 2015. évi pótelőirányzatainak elfogadásáról szóló 7/2016 (V.26.)</w:t>
                  </w:r>
                </w:p>
                <w:p w:rsidR="001079F1" w:rsidRDefault="001079F1" w:rsidP="00E10BA9">
                  <w:pPr>
                    <w:rPr>
                      <w:rFonts w:ascii="Times New Roman CE" w:hAnsi="Times New Roman CE" w:cs="Times New Roman CE"/>
                      <w:sz w:val="18"/>
                      <w:szCs w:val="18"/>
                    </w:rPr>
                  </w:pPr>
                  <w:r>
                    <w:rPr>
                      <w:rFonts w:ascii="Times New Roman CE" w:hAnsi="Times New Roman CE" w:cs="Times New Roman CE"/>
                      <w:sz w:val="18"/>
                      <w:szCs w:val="18"/>
                    </w:rPr>
                    <w:t xml:space="preserve"> önkormányzati rendeletének 2.2. melléklet</w:t>
                  </w:r>
                </w:p>
                <w:p w:rsidR="001079F1" w:rsidRPr="00136F59" w:rsidRDefault="001079F1" w:rsidP="00E10BA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</w:rPr>
                    <w:t>II. Felhalmozási célú bevételek és kiadások mérlege</w:t>
                  </w:r>
                  <w:r w:rsidRPr="00136F59">
                    <w:rPr>
                      <w:rFonts w:ascii="Times New Roman CE" w:hAnsi="Times New Roman CE" w:cs="Times New Roman CE"/>
                      <w:b/>
                      <w:bCs/>
                    </w:rPr>
                    <w:br/>
                    <w:t>(Önkormányzati szinten)</w:t>
                  </w:r>
                </w:p>
              </w:tc>
              <w:tc>
                <w:tcPr>
                  <w:tcW w:w="25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extDirection w:val="tbRl"/>
                  <w:vAlign w:val="bottom"/>
                  <w:hideMark/>
                </w:tcPr>
                <w:p w:rsidR="001079F1" w:rsidRPr="00136F59" w:rsidRDefault="001079F1" w:rsidP="00E10BA9">
                  <w:pPr>
                    <w:jc w:val="center"/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70"/>
              </w:trPr>
              <w:tc>
                <w:tcPr>
                  <w:tcW w:w="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</w:p>
              </w:tc>
              <w:tc>
                <w:tcPr>
                  <w:tcW w:w="50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jc w:val="center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079F1" w:rsidRPr="00D95C60" w:rsidRDefault="001079F1" w:rsidP="00E10BA9">
                  <w:pPr>
                    <w:rPr>
                      <w:rFonts w:ascii="Times New Roman CE" w:hAnsi="Times New Roman CE" w:cs="Times New Roman CE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4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079F1" w:rsidRPr="00D95C60" w:rsidRDefault="001079F1" w:rsidP="00E10BA9">
                  <w:pPr>
                    <w:rPr>
                      <w:rFonts w:ascii="Times New Roman CE" w:hAnsi="Times New Roman CE" w:cs="Times New Roman CE"/>
                      <w:b/>
                      <w:sz w:val="20"/>
                      <w:szCs w:val="20"/>
                    </w:rPr>
                  </w:pPr>
                  <w:r w:rsidRPr="00D95C60">
                    <w:rPr>
                      <w:rFonts w:ascii="Times New Roman CE" w:hAnsi="Times New Roman CE" w:cs="Times New Roman CE"/>
                      <w:b/>
                      <w:sz w:val="20"/>
                      <w:szCs w:val="20"/>
                    </w:rPr>
                    <w:t>ezer forintban!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079F1" w:rsidRPr="00136F59" w:rsidRDefault="001079F1" w:rsidP="00E10BA9">
                  <w:pPr>
                    <w:jc w:val="right"/>
                    <w:rPr>
                      <w:rFonts w:ascii="Times New Roman CE" w:hAnsi="Times New Roman CE" w:cs="Times New Roman CE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70"/>
              </w:trPr>
              <w:tc>
                <w:tcPr>
                  <w:tcW w:w="74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sz w:val="18"/>
                      <w:szCs w:val="18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8"/>
                      <w:szCs w:val="18"/>
                    </w:rPr>
                    <w:t>Sor-</w:t>
                  </w: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8"/>
                      <w:szCs w:val="18"/>
                    </w:rPr>
                    <w:br/>
                    <w:t>szám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sz w:val="18"/>
                      <w:szCs w:val="18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8"/>
                      <w:szCs w:val="18"/>
                    </w:rPr>
                    <w:t>Bevételek</w:t>
                  </w:r>
                </w:p>
              </w:tc>
              <w:tc>
                <w:tcPr>
                  <w:tcW w:w="414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sz w:val="18"/>
                      <w:szCs w:val="18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8"/>
                      <w:szCs w:val="18"/>
                    </w:rPr>
                    <w:t>Kiadások</w:t>
                  </w:r>
                </w:p>
              </w:tc>
              <w:tc>
                <w:tcPr>
                  <w:tcW w:w="4773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480"/>
              </w:trPr>
              <w:tc>
                <w:tcPr>
                  <w:tcW w:w="74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57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sz w:val="18"/>
                      <w:szCs w:val="18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8"/>
                      <w:szCs w:val="18"/>
                    </w:rPr>
                    <w:t>Megnevezés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sz w:val="18"/>
                      <w:szCs w:val="18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8"/>
                      <w:szCs w:val="18"/>
                    </w:rPr>
                    <w:t>2015. évi előirányzat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sz w:val="18"/>
                      <w:szCs w:val="18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8"/>
                      <w:szCs w:val="18"/>
                    </w:rPr>
                    <w:t>Megnevezés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sz w:val="18"/>
                      <w:szCs w:val="18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8"/>
                      <w:szCs w:val="18"/>
                    </w:rPr>
                    <w:t>2015. évi előirányzat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5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9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0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Felhalmozási célú támogatások államháztartáson belülről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18.566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Beruházások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18.566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5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0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1.-ből EU-s támogatás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1.-ből EU-s forrásból megvalósuló beruházás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9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0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Felhalmozási bevételek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Felújítások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9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0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Felhalmozási célú átvett pénzeszközök átvétele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3.-ból EU-s forrásból megvalósuló felújítás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5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0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4.-ből EU-s támogatás (közvetlen)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Egyéb felhalmozási kiadások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916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9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0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Egyéb felhalmozási célú bevételek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916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600" w:firstLine="9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9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0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600" w:firstLine="9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9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0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600" w:firstLine="9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9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0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300" w:firstLine="48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600" w:firstLine="9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5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0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600" w:firstLine="9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9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0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single" w:sz="8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Tartalékok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319"/>
              </w:trPr>
              <w:tc>
                <w:tcPr>
                  <w:tcW w:w="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1"/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315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1"/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  <w:t>Költségvetési bevételek összesen: (1.+3.+4.+6.+…+11.)</w:t>
                  </w:r>
                </w:p>
              </w:tc>
              <w:tc>
                <w:tcPr>
                  <w:tcW w:w="112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1"/>
                    <w:jc w:val="right"/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  <w:t>5.088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1"/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  <w:t>Költségvetési kiadások összesen: (1.+3.+5.+.</w:t>
                  </w:r>
                  <w:proofErr w:type="gramStart"/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  <w:t>..</w:t>
                  </w:r>
                  <w:proofErr w:type="gramEnd"/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  <w:t>+11.)</w:t>
                  </w:r>
                </w:p>
              </w:tc>
              <w:tc>
                <w:tcPr>
                  <w:tcW w:w="152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1"/>
                    <w:jc w:val="right"/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  <w:t>5.088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9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0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i/>
                      <w:iCs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i/>
                      <w:iCs/>
                      <w:sz w:val="16"/>
                      <w:szCs w:val="16"/>
                    </w:rPr>
                    <w:t xml:space="preserve">Hiány belső finanszírozás bevételei </w:t>
                  </w:r>
                  <w:proofErr w:type="gramStart"/>
                  <w:r w:rsidRPr="00136F59">
                    <w:rPr>
                      <w:rFonts w:ascii="Times New Roman CE" w:hAnsi="Times New Roman CE" w:cs="Times New Roman CE"/>
                      <w:i/>
                      <w:iCs/>
                      <w:sz w:val="16"/>
                      <w:szCs w:val="16"/>
                    </w:rPr>
                    <w:t>( 14</w:t>
                  </w:r>
                  <w:proofErr w:type="gramEnd"/>
                  <w:r w:rsidRPr="00136F59">
                    <w:rPr>
                      <w:rFonts w:ascii="Times New Roman CE" w:hAnsi="Times New Roman CE" w:cs="Times New Roman CE"/>
                      <w:i/>
                      <w:iCs/>
                      <w:sz w:val="16"/>
                      <w:szCs w:val="16"/>
                    </w:rPr>
                    <w:t>+…+18)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i/>
                      <w:iCs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Értékpapír vásárlása, visszavásárlása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9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0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31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200" w:firstLine="32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Költségvetési maradvány igénybevétele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Hitelek törlesztése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9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0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200" w:firstLine="32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 xml:space="preserve">Vállalkozási maradvány igénybevétele 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Rövid lejáratú hitelek törlesztése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9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0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200" w:firstLine="32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 xml:space="preserve">Betét visszavonásából származó bevétel 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Hosszú lejáratú hitelek törlesztése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9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0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200" w:firstLine="32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Értékpapír értékesítése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single" w:sz="8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Kölcsön törlesztése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9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0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200" w:firstLine="32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Egyéb belső finanszírozási bevételek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Befektetési célú belföldi, külföldi értékpapírok vásárlása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9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0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20"/>
                      <w:szCs w:val="20"/>
                    </w:rPr>
                    <w:lastRenderedPageBreak/>
                    <w:t>19.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i/>
                      <w:iCs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i/>
                      <w:iCs/>
                      <w:sz w:val="16"/>
                      <w:szCs w:val="16"/>
                    </w:rPr>
                    <w:t>Hiány külső finanszírozásának bevételei (20+…+</w:t>
                  </w:r>
                  <w:proofErr w:type="gramStart"/>
                  <w:r w:rsidRPr="00136F59">
                    <w:rPr>
                      <w:rFonts w:ascii="Times New Roman CE" w:hAnsi="Times New Roman CE" w:cs="Times New Roman CE"/>
                      <w:i/>
                      <w:iCs/>
                      <w:sz w:val="16"/>
                      <w:szCs w:val="16"/>
                    </w:rPr>
                    <w:t>24 )</w:t>
                  </w:r>
                  <w:proofErr w:type="gramEnd"/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i/>
                      <w:iCs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Betét elhelyezése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9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0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200" w:firstLine="32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Hosszú lejáratú hitelek, kölcsönök felvétele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Pénzügyi lízing kiadásai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9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0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200" w:firstLine="32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Likviditási célú hitelek, kölcsönök felvétele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9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0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200" w:firstLine="32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Rövid lejáratú hitelek, kölcsönök felvétele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9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0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200" w:firstLine="32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Értékpapírok kibocsátása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9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0"/>
                    <w:rPr>
                      <w:rFonts w:ascii="Times New Roman CE" w:hAnsi="Times New Roman CE" w:cs="Times New Roman CE"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200" w:firstLine="32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Egyéb külső finanszírozási bevételek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0"/>
                    <w:jc w:val="right"/>
                    <w:rPr>
                      <w:rFonts w:ascii="Times New Roman CE" w:hAnsi="Times New Roman CE" w:cs="Times New Roman CE"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435"/>
              </w:trPr>
              <w:tc>
                <w:tcPr>
                  <w:tcW w:w="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1"/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315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1"/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  <w:t>Felhalmozási célú finanszírozási bevételek összesen (13.+19.)</w:t>
                  </w:r>
                </w:p>
              </w:tc>
              <w:tc>
                <w:tcPr>
                  <w:tcW w:w="112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1"/>
                    <w:jc w:val="right"/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1"/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  <w:t>Felhalmozási célú finanszírozási kiadások összesen</w:t>
                  </w: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  <w:br/>
                    <w:t>(13.+.</w:t>
                  </w:r>
                  <w:proofErr w:type="gramStart"/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  <w:t>..</w:t>
                  </w:r>
                  <w:proofErr w:type="gramEnd"/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  <w:t>+24.)</w:t>
                  </w:r>
                </w:p>
              </w:tc>
              <w:tc>
                <w:tcPr>
                  <w:tcW w:w="152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161"/>
                    <w:jc w:val="right"/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5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1"/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  <w:t>26.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1"/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  <w:t>BEVÉTEL ÖSSZESEN (12+25)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1"/>
                    <w:jc w:val="right"/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  <w:t>5.088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1"/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  <w:t>KIADÁSOK ÖSSZESEN (12+25)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1"/>
                    <w:jc w:val="right"/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  <w:t>5.088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5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1"/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  <w:t>27.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1"/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  <w:t>Költségvetési hiány: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1"/>
                    <w:jc w:val="right"/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1"/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  <w:t>Költségvetési többlet: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1"/>
                    <w:jc w:val="right"/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079F1" w:rsidRPr="00136F59" w:rsidTr="00E10BA9">
              <w:trPr>
                <w:trHeight w:val="255"/>
              </w:trPr>
              <w:tc>
                <w:tcPr>
                  <w:tcW w:w="74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1"/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  <w:t>28.</w:t>
                  </w:r>
                </w:p>
              </w:tc>
              <w:tc>
                <w:tcPr>
                  <w:tcW w:w="3157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1"/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  <w:t>Tárgyévi  hiány</w:t>
                  </w:r>
                  <w:proofErr w:type="gramEnd"/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1"/>
                    <w:jc w:val="right"/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</w:pPr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1"/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  <w:t>Tárgyévi  többlet</w:t>
                  </w:r>
                  <w:proofErr w:type="gramEnd"/>
                  <w:r w:rsidRPr="00136F59"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079F1" w:rsidRPr="00136F59" w:rsidRDefault="001079F1" w:rsidP="00E10BA9">
                  <w:pPr>
                    <w:ind w:firstLineChars="100" w:firstLine="201"/>
                    <w:jc w:val="right"/>
                    <w:rPr>
                      <w:rFonts w:ascii="Times New Roman CE" w:hAnsi="Times New Roman CE" w:cs="Times New Roman CE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77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79F1" w:rsidRPr="00136F59" w:rsidRDefault="001079F1" w:rsidP="00E10BA9">
                  <w:pPr>
                    <w:rPr>
                      <w:rFonts w:ascii="Times New Roman CE" w:hAnsi="Times New Roman CE" w:cs="Times New Roman CE"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1079F1" w:rsidRDefault="001079F1" w:rsidP="00E10BA9"/>
          <w:p w:rsidR="001079F1" w:rsidRDefault="001079F1" w:rsidP="00E10BA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  <w:p w:rsidR="001079F1" w:rsidRDefault="001079F1" w:rsidP="00E10BA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  <w:p w:rsidR="001079F1" w:rsidRDefault="001079F1" w:rsidP="00E10BA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  <w:p w:rsidR="001079F1" w:rsidRDefault="001079F1" w:rsidP="00E10BA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  <w:p w:rsidR="001079F1" w:rsidRDefault="001079F1" w:rsidP="00E10BA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  <w:p w:rsidR="001079F1" w:rsidRDefault="001079F1" w:rsidP="00E10BA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  <w:p w:rsidR="001079F1" w:rsidRDefault="001079F1" w:rsidP="00E10BA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  <w:p w:rsidR="001079F1" w:rsidRDefault="001079F1" w:rsidP="00E10BA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  <w:p w:rsidR="001079F1" w:rsidRDefault="001079F1" w:rsidP="00E10BA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  <w:p w:rsidR="001079F1" w:rsidRDefault="001079F1" w:rsidP="00E10BA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  <w:p w:rsidR="001079F1" w:rsidRDefault="001079F1" w:rsidP="00E10BA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  <w:p w:rsidR="001079F1" w:rsidRDefault="001079F1" w:rsidP="00E10BA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  <w:p w:rsidR="001079F1" w:rsidRDefault="001079F1" w:rsidP="00E10BA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  <w:p w:rsidR="001079F1" w:rsidRDefault="001079F1" w:rsidP="00E10BA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  <w:p w:rsidR="001079F1" w:rsidRPr="006544F9" w:rsidRDefault="001079F1" w:rsidP="00E10BA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</w:tbl>
    <w:p w:rsidR="00700825" w:rsidRDefault="00700825"/>
    <w:sectPr w:rsidR="00700825" w:rsidSect="00AA2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1079F1"/>
    <w:rsid w:val="001079F1"/>
    <w:rsid w:val="00700825"/>
    <w:rsid w:val="008574E8"/>
    <w:rsid w:val="00AA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2B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1895</Characters>
  <Application>Microsoft Office Word</Application>
  <DocSecurity>0</DocSecurity>
  <Lines>15</Lines>
  <Paragraphs>4</Paragraphs>
  <ScaleCrop>false</ScaleCrop>
  <Company>WXPEE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</dc:creator>
  <cp:lastModifiedBy>Gazda</cp:lastModifiedBy>
  <cp:revision>3</cp:revision>
  <dcterms:created xsi:type="dcterms:W3CDTF">2016-06-06T12:26:00Z</dcterms:created>
  <dcterms:modified xsi:type="dcterms:W3CDTF">2016-06-06T12:27:00Z</dcterms:modified>
</cp:coreProperties>
</file>