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315DF" w14:textId="77777777" w:rsidR="00913FA6" w:rsidRDefault="00913FA6" w:rsidP="00913FA6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Style w:val="Kiemels2"/>
          <w:rFonts w:eastAsia="Times New Roman"/>
          <w:sz w:val="24"/>
          <w:szCs w:val="24"/>
          <w:lang w:eastAsia="hu-HU"/>
        </w:rPr>
      </w:pPr>
      <w:bookmarkStart w:id="0" w:name="_Hlk513033013"/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melléklet a 4/2018. (IV. 27.) önkormányzati rendelethez</w:t>
      </w:r>
    </w:p>
    <w:p w14:paraId="131ABDEB" w14:textId="77777777" w:rsidR="00913FA6" w:rsidRDefault="00913FA6" w:rsidP="00913FA6">
      <w:pPr>
        <w:pStyle w:val="NormlWeb"/>
        <w:spacing w:before="0" w:beforeAutospacing="0" w:after="20" w:afterAutospacing="0"/>
        <w:jc w:val="center"/>
        <w:rPr>
          <w:color w:val="000000"/>
        </w:rPr>
      </w:pPr>
      <w:r>
        <w:rPr>
          <w:rStyle w:val="Kiemels2"/>
          <w:rFonts w:ascii="Garamond" w:hAnsi="Garamond" w:cs="Times"/>
          <w:color w:val="000000"/>
        </w:rPr>
        <w:t>A Tolcsvai Ruszin Nemzetiségi Önkormányzatnak a Tolcsva Község Önkormányzat döntéseihez kapcsolódó véleményezési jogköre</w:t>
      </w:r>
    </w:p>
    <w:p w14:paraId="03F492CD" w14:textId="77777777" w:rsidR="00913FA6" w:rsidRDefault="00913FA6" w:rsidP="00913FA6">
      <w:pPr>
        <w:pStyle w:val="NormlWeb"/>
        <w:spacing w:before="0" w:beforeAutospacing="0" w:after="20" w:afterAutospacing="0"/>
        <w:rPr>
          <w:rFonts w:ascii="Garamond" w:hAnsi="Garamond" w:cs="Times"/>
          <w:color w:val="000000"/>
        </w:rPr>
      </w:pPr>
    </w:p>
    <w:p w14:paraId="58B07F50" w14:textId="77777777" w:rsidR="00913FA6" w:rsidRDefault="00913FA6" w:rsidP="00913FA6">
      <w:pPr>
        <w:pStyle w:val="NormlWeb"/>
        <w:numPr>
          <w:ilvl w:val="0"/>
          <w:numId w:val="2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Véleményt nyilvánít a szociális földprogrammal kapcsolatos kérdésekben.</w:t>
      </w:r>
    </w:p>
    <w:p w14:paraId="06110CCA" w14:textId="77777777" w:rsidR="00913FA6" w:rsidRDefault="00913FA6" w:rsidP="00913FA6">
      <w:pPr>
        <w:pStyle w:val="NormlWeb"/>
        <w:numPr>
          <w:ilvl w:val="0"/>
          <w:numId w:val="2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Véleményt nyilvánít a lakosságot érintő önkormányzati rendelet-tervezetekről.</w:t>
      </w:r>
    </w:p>
    <w:p w14:paraId="57244400" w14:textId="77777777" w:rsidR="00913FA6" w:rsidRDefault="00913FA6" w:rsidP="00913FA6">
      <w:pPr>
        <w:pStyle w:val="NormlWeb"/>
        <w:numPr>
          <w:ilvl w:val="0"/>
          <w:numId w:val="2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Figyelemmel kíséri a helyi foglalkoztatási viszonyok alakulását.</w:t>
      </w:r>
    </w:p>
    <w:p w14:paraId="25518AB2" w14:textId="77777777" w:rsidR="00913FA6" w:rsidRDefault="00913FA6" w:rsidP="00913FA6">
      <w:pPr>
        <w:pStyle w:val="NormlWeb"/>
        <w:numPr>
          <w:ilvl w:val="0"/>
          <w:numId w:val="2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Részt vesz a helyi foglalkoztatási érdekegyeztetésben.</w:t>
      </w:r>
    </w:p>
    <w:p w14:paraId="44428836" w14:textId="77777777" w:rsidR="00913FA6" w:rsidRDefault="00913FA6" w:rsidP="00913FA6">
      <w:pPr>
        <w:pStyle w:val="NormlWeb"/>
        <w:numPr>
          <w:ilvl w:val="0"/>
          <w:numId w:val="2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Figyelemmel kíséri a helyi természetvédelmi feladatok ellátását.</w:t>
      </w:r>
    </w:p>
    <w:p w14:paraId="47704646" w14:textId="77777777" w:rsidR="00913FA6" w:rsidRDefault="00913FA6" w:rsidP="00913FA6">
      <w:pPr>
        <w:pStyle w:val="NormlWeb"/>
        <w:numPr>
          <w:ilvl w:val="0"/>
          <w:numId w:val="2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Véleményt nyilvánít az önkormányzat intézményei vezetőinek kinevezése ügyében.</w:t>
      </w:r>
    </w:p>
    <w:p w14:paraId="3944D049" w14:textId="77777777" w:rsidR="00913FA6" w:rsidRDefault="00913FA6" w:rsidP="00913FA6">
      <w:pPr>
        <w:pStyle w:val="NormlWeb"/>
        <w:numPr>
          <w:ilvl w:val="0"/>
          <w:numId w:val="2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Egyetértési jogot gyakorol a nemzetiségi alapkönyvtár kijelölése tekintetében.</w:t>
      </w:r>
    </w:p>
    <w:p w14:paraId="1FF746BB" w14:textId="77777777" w:rsidR="00913FA6" w:rsidRDefault="00913FA6" w:rsidP="00913FA6">
      <w:pPr>
        <w:pStyle w:val="NormlWeb"/>
        <w:numPr>
          <w:ilvl w:val="0"/>
          <w:numId w:val="2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Közreműködik az általános iskolai tanulmányok befejezését követően tovább nem tanulók tankötelezettségének teljesítéséhez szükséges feltételek megteremtésében </w:t>
      </w:r>
    </w:p>
    <w:p w14:paraId="6C612EFA" w14:textId="77777777" w:rsidR="00913FA6" w:rsidRDefault="00913FA6" w:rsidP="00913FA6">
      <w:pPr>
        <w:pStyle w:val="NormlWeb"/>
        <w:spacing w:before="0" w:beforeAutospacing="0" w:after="20" w:afterAutospacing="0"/>
        <w:jc w:val="center"/>
        <w:rPr>
          <w:rFonts w:ascii="Garamond" w:hAnsi="Garamond" w:cs="Times"/>
          <w:color w:val="000000"/>
        </w:rPr>
      </w:pPr>
    </w:p>
    <w:p w14:paraId="67540BC1" w14:textId="77777777" w:rsidR="00913FA6" w:rsidRDefault="00913FA6" w:rsidP="00913FA6">
      <w:pPr>
        <w:pStyle w:val="NormlWeb"/>
        <w:spacing w:before="0" w:beforeAutospacing="0" w:after="20" w:afterAutospacing="0"/>
        <w:jc w:val="center"/>
        <w:rPr>
          <w:rFonts w:ascii="Garamond" w:hAnsi="Garamond" w:cs="Times"/>
          <w:color w:val="000000"/>
        </w:rPr>
      </w:pPr>
      <w:r>
        <w:rPr>
          <w:rStyle w:val="Kiemels2"/>
          <w:rFonts w:ascii="Garamond" w:hAnsi="Garamond" w:cs="Times"/>
          <w:color w:val="000000"/>
        </w:rPr>
        <w:t>A javaslatok, kezdeményezések kezelésének, a véleményezési és egyetértési jog gyakorlásának rendje</w:t>
      </w:r>
    </w:p>
    <w:p w14:paraId="1E53CA59" w14:textId="77777777" w:rsidR="00913FA6" w:rsidRDefault="00913FA6" w:rsidP="00913FA6">
      <w:pPr>
        <w:pStyle w:val="NormlWeb"/>
        <w:spacing w:before="0" w:beforeAutospacing="0" w:after="20" w:afterAutospacing="0"/>
        <w:jc w:val="center"/>
        <w:rPr>
          <w:rFonts w:ascii="Garamond" w:hAnsi="Garamond" w:cs="Times"/>
          <w:color w:val="000000"/>
        </w:rPr>
      </w:pPr>
    </w:p>
    <w:p w14:paraId="0F868D01" w14:textId="77777777" w:rsidR="00913FA6" w:rsidRDefault="00913FA6" w:rsidP="00913FA6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A nemzetiségi önkormányzat képviselő-testülete a település nemzetiséghez tartozó lakosságát érintő javaslatait, kezdeményezéseit a képviselője útján terjeszti elő.</w:t>
      </w:r>
    </w:p>
    <w:p w14:paraId="37DC1C95" w14:textId="77777777" w:rsidR="00913FA6" w:rsidRDefault="00913FA6" w:rsidP="00913FA6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A megkeresett szerv vezetője a hatáskörébe tartozó kérdésben a kezdeményezésről a kézhezvételétől számított harminc napon belül köteles érdemben nyilatkozni vagy határozni. Ha a megkeresett szerv vezetője a megkeresés tárgyát illetően nem rendelkezik hatáskörrel vagy illetékességgel, köteles a megkeresést három napon belül a hatáskörrel és illetékességgel rendelkező szervhez áttenni.</w:t>
      </w:r>
    </w:p>
    <w:p w14:paraId="124142F8" w14:textId="77777777" w:rsidR="00913FA6" w:rsidRDefault="00913FA6" w:rsidP="00913FA6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Amennyiben a kezdeményezés a képviselő-testület vagy valamely bizottság hatáskörébe tartozik, a beérkezett javaslatot, kezdeményezést a megkeresett szerv vezetője a képviselő-testület, vagy bizottság munkaterv szerinti soros ülésére terjeszti elő döntéshozatal céljából arra való figyelemmel, hogy a testületi szerv hatvan napon belül köteles érdemben határozni, illetve harminc napon belül érdemben nyilatkozni.</w:t>
      </w:r>
    </w:p>
    <w:p w14:paraId="6CB2D877" w14:textId="77777777" w:rsidR="00913FA6" w:rsidRDefault="00913FA6" w:rsidP="00913FA6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</w:p>
    <w:p w14:paraId="24274C29" w14:textId="77777777" w:rsidR="00913FA6" w:rsidRDefault="00913FA6" w:rsidP="00913FA6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A nemzetiségi önkormányzat hatáskörébe tartozó véleményezési és egyetértési jogköre körében hozott döntés meghozatalát a képviselő-testület képviseletében a polgármester a nemzetiségi önkormányzat elnökénél kezdeményezi úgy, hogy a döntést előkészítő írásos anyagot a nemzetiségi önkormányzat tagjai az elnök előterjesztésében az ülést megelőző legalább 3 nappal korábban megkapják.</w:t>
      </w:r>
    </w:p>
    <w:p w14:paraId="12A18F59" w14:textId="77777777" w:rsidR="00913FA6" w:rsidRDefault="00913FA6" w:rsidP="00913FA6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A nemzetiségi önkormányzat véleményezési, illetve egyetértési jogkörében hozott döntését, vagy annak elmulasztását települési önkormányzat képviselő-testülete ülésén tanácskozási joggal részt vevő nemzetiségi önkormányzat elnöke, ennek hiányában a napirend előterjesztője ismerteti a döntéshozatalt megelőzően.</w:t>
      </w:r>
    </w:p>
    <w:p w14:paraId="5B0503A0" w14:textId="77777777" w:rsidR="00913FA6" w:rsidRDefault="00913FA6" w:rsidP="00913FA6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</w:p>
    <w:p w14:paraId="6A68F71A" w14:textId="77777777" w:rsidR="00913FA6" w:rsidRDefault="00913FA6" w:rsidP="00913FA6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Az egyetértési és a véleményezési jog jogosultja jogait az ez irányú kezdeményezés kézhezvételétől, vagy az egyéb módon történő tudomására jutástól számított harminc napon belül gyakorolja. E határidő elmulasztása jogvesztő.</w:t>
      </w:r>
    </w:p>
    <w:p w14:paraId="57DC8273" w14:textId="77777777" w:rsidR="00913FA6" w:rsidRDefault="00913FA6" w:rsidP="00913FA6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</w:p>
    <w:p w14:paraId="387E7DE3" w14:textId="17A00D57" w:rsidR="007E6B41" w:rsidRDefault="00913FA6" w:rsidP="00913FA6">
      <w:pPr>
        <w:pStyle w:val="NormlWeb"/>
        <w:spacing w:before="0" w:beforeAutospacing="0" w:after="20" w:afterAutospacing="0"/>
        <w:jc w:val="both"/>
      </w:pPr>
      <w:r>
        <w:rPr>
          <w:rFonts w:ascii="Garamond" w:hAnsi="Garamond" w:cs="Times"/>
          <w:color w:val="000000"/>
        </w:rPr>
        <w:t>Ha a nemzetiségi önkormányzat jogainak gyakorlásához a helyi önkormányzatnak vagy szervének döntése szükséges, a nemzetiségi önkormányzat elnöke által benyújtott erre irányuló kezdeményezést a döntésre jogosult köteles a következő ülésén napirendre tűzni, valamint a kezdeményezés benyújtásától számított harminc, testületi döntés esetén hatvan napon belül döntést hozni.</w:t>
      </w:r>
      <w:bookmarkStart w:id="1" w:name="_GoBack"/>
      <w:bookmarkEnd w:id="0"/>
      <w:bookmarkEnd w:id="1"/>
    </w:p>
    <w:sectPr w:rsidR="007E6B41" w:rsidSect="008F20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2027"/>
    <w:multiLevelType w:val="hybridMultilevel"/>
    <w:tmpl w:val="E19EF5B8"/>
    <w:lvl w:ilvl="0" w:tplc="FEF0C7DC">
      <w:start w:val="4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503FD"/>
    <w:multiLevelType w:val="hybridMultilevel"/>
    <w:tmpl w:val="EC68E6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71"/>
    <w:rsid w:val="007E6B41"/>
    <w:rsid w:val="0081155A"/>
    <w:rsid w:val="008F2032"/>
    <w:rsid w:val="00913FA6"/>
    <w:rsid w:val="00A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AFF37-73C9-4563-AEE3-F6C2F2E7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13FA6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13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13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2</cp:revision>
  <dcterms:created xsi:type="dcterms:W3CDTF">2019-11-29T09:22:00Z</dcterms:created>
  <dcterms:modified xsi:type="dcterms:W3CDTF">2019-11-29T09:23:00Z</dcterms:modified>
</cp:coreProperties>
</file>