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79"/>
        <w:gridCol w:w="2850"/>
        <w:gridCol w:w="666"/>
        <w:gridCol w:w="666"/>
        <w:gridCol w:w="3107"/>
        <w:gridCol w:w="878"/>
        <w:gridCol w:w="666"/>
      </w:tblGrid>
      <w:tr w:rsidR="00FF0D99" w:rsidRPr="00FF0D99" w:rsidTr="00FF0D99">
        <w:trPr>
          <w:trHeight w:val="30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bookmarkStart w:id="0" w:name="RANGE!A1:G28"/>
            <w:bookmarkEnd w:id="0"/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20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 xml:space="preserve">2.2. melléklet a </w:t>
            </w:r>
            <w:r w:rsidR="00236F21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10</w:t>
            </w:r>
            <w:r w:rsidRPr="00FF0D99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 xml:space="preserve"> /2020. (IX</w:t>
            </w:r>
            <w:r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.30</w:t>
            </w:r>
            <w:r w:rsidRPr="00FF0D99">
              <w:rPr>
                <w:rFonts w:ascii="Times New Roman CE" w:eastAsia="Times New Roman" w:hAnsi="Times New Roman CE" w:cs="Calibri"/>
                <w:i/>
                <w:iCs/>
                <w:lang w:eastAsia="hu-HU"/>
              </w:rPr>
              <w:t>) számú önkormányzati rendelethez</w:t>
            </w: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</w:tr>
      <w:tr w:rsidR="00FF0D99" w:rsidRPr="00FF0D99" w:rsidTr="00FF0D99">
        <w:trPr>
          <w:trHeight w:val="25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</w:tr>
      <w:tr w:rsidR="00FF0D99" w:rsidRPr="00FF0D99" w:rsidTr="00FF0D99">
        <w:trPr>
          <w:trHeight w:val="630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8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  <w:t>II. Felhalmozási célú bevételek és kiadások egyenlege</w:t>
            </w:r>
            <w:r w:rsidRPr="00FF0D99">
              <w:rPr>
                <w:rFonts w:ascii="Times New Roman CE" w:eastAsia="Times New Roman" w:hAnsi="Times New Roman CE" w:cs="Calibri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FF0D99" w:rsidRPr="00FF0D99" w:rsidTr="00FF0D99">
        <w:trPr>
          <w:trHeight w:val="28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right"/>
              <w:rPr>
                <w:rFonts w:ascii="Times New Roman CE" w:eastAsia="Times New Roman" w:hAnsi="Times New Roman CE" w:cs="Calibri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FF0D99" w:rsidRPr="00FF0D99" w:rsidTr="00FF0D99">
        <w:trPr>
          <w:trHeight w:val="270"/>
        </w:trPr>
        <w:tc>
          <w:tcPr>
            <w:tcW w:w="18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Sor-</w:t>
            </w: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735"/>
        </w:trPr>
        <w:tc>
          <w:tcPr>
            <w:tcW w:w="18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módosított előirányzat</w:t>
            </w:r>
          </w:p>
        </w:tc>
        <w:tc>
          <w:tcPr>
            <w:tcW w:w="15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előirányzat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2020. évi módosított előirányzat</w:t>
            </w:r>
          </w:p>
        </w:tc>
      </w:tr>
      <w:tr w:rsidR="00FF0D99" w:rsidRPr="00FF0D99" w:rsidTr="00FF0D99">
        <w:trPr>
          <w:trHeight w:val="27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5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5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B2. Felhalmozási célú támogatások államháztartáson belülről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20 800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98 538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K6. Beruházások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148 565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140 597</w:t>
            </w:r>
          </w:p>
        </w:tc>
      </w:tr>
      <w:tr w:rsidR="00FF0D99" w:rsidRPr="00FF0D99" w:rsidTr="00FF0D99">
        <w:trPr>
          <w:trHeight w:val="315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B5. Felhalmozási bevételek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13 990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K7. Felújítások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43 550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120 148</w:t>
            </w:r>
          </w:p>
        </w:tc>
      </w:tr>
      <w:tr w:rsidR="00FF0D99" w:rsidRPr="00FF0D99" w:rsidTr="00FF0D99">
        <w:trPr>
          <w:trHeight w:val="465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B7. Felhalmozási célú átvett pénzeszközök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/>
              </w:rPr>
              <w:t>K8. Egyéb Felhalmozási célú kiadások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18 573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319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Költségvetési bevételek összesen: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30 800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112 528</w:t>
            </w:r>
          </w:p>
        </w:tc>
        <w:tc>
          <w:tcPr>
            <w:tcW w:w="1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Költségvetési kiadások összesen: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210 688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260 745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( 6</w:t>
            </w:r>
            <w:proofErr w:type="gramEnd"/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+…+10)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179 888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148 217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Hitelek, kölcsönök törlesztése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179 888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148 217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Értékpapírok kiadásai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Államháztartáson belüli megelőlegezések visszafizetése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Bankbetét elhelyezése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Támogatásból származó bevétel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Adóssághoz nem kapcsolódó származékos ügyletek kiadásai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Hiány külső finanszírozásának bevételei (12+…+</w:t>
            </w:r>
            <w:proofErr w:type="gramStart"/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16 )</w:t>
            </w:r>
            <w:proofErr w:type="gramEnd"/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FF0D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Váltó kiadások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259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56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435"/>
        </w:trPr>
        <w:tc>
          <w:tcPr>
            <w:tcW w:w="1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Felhalmozási célú finanszírozási bevételek összesen (5+11)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179 888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148 217</w:t>
            </w:r>
          </w:p>
        </w:tc>
        <w:tc>
          <w:tcPr>
            <w:tcW w:w="1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br/>
              <w:t>(5+.</w:t>
            </w:r>
            <w:proofErr w:type="gramStart"/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+16)</w:t>
            </w:r>
          </w:p>
        </w:tc>
        <w:tc>
          <w:tcPr>
            <w:tcW w:w="4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F0D99" w:rsidRPr="00FF0D99" w:rsidTr="00FF0D99">
        <w:trPr>
          <w:trHeight w:val="36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Költségvetési és finanszírozási bevételek összesen (4+17)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210 688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260 745</w:t>
            </w:r>
          </w:p>
        </w:tc>
        <w:tc>
          <w:tcPr>
            <w:tcW w:w="156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8"/>
                <w:szCs w:val="18"/>
                <w:lang w:eastAsia="hu-HU"/>
              </w:rPr>
              <w:t>Költségvetési és finanszírozási kiadások összesen (4+17)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210 688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16"/>
                <w:szCs w:val="16"/>
                <w:lang w:eastAsia="hu-HU"/>
              </w:rPr>
              <w:t>260 745</w:t>
            </w:r>
          </w:p>
        </w:tc>
      </w:tr>
      <w:tr w:rsidR="00FF0D99" w:rsidRPr="00FF0D99" w:rsidTr="00FF0D99">
        <w:trPr>
          <w:trHeight w:val="27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BEVÉTEL ÖSSZESEN (4+17)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210 688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260 745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KIADÁSOK ÖSSZESEN (4+17)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210 688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260 745</w:t>
            </w:r>
          </w:p>
        </w:tc>
      </w:tr>
      <w:tr w:rsidR="00FF0D99" w:rsidRPr="00FF0D99" w:rsidTr="00FF0D99">
        <w:trPr>
          <w:trHeight w:val="27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179 888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148 217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FF0D99" w:rsidRPr="00FF0D99" w:rsidTr="00FF0D99">
        <w:trPr>
          <w:trHeight w:val="270"/>
        </w:trPr>
        <w:tc>
          <w:tcPr>
            <w:tcW w:w="1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4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15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</w:pPr>
            <w:r w:rsidRPr="00FF0D99">
              <w:rPr>
                <w:rFonts w:ascii="Times New Roman CE" w:eastAsia="Times New Roman" w:hAnsi="Times New Roman CE" w:cs="Calibri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FF0D99" w:rsidRPr="00FF0D99" w:rsidTr="00FF0D99">
        <w:trPr>
          <w:trHeight w:val="255"/>
        </w:trPr>
        <w:tc>
          <w:tcPr>
            <w:tcW w:w="1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jc w:val="center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D99" w:rsidRPr="00FF0D99" w:rsidRDefault="00FF0D99" w:rsidP="00FF0D99">
            <w:pPr>
              <w:spacing w:after="0" w:line="240" w:lineRule="auto"/>
              <w:rPr>
                <w:rFonts w:ascii="Times New Roman CE" w:eastAsia="Times New Roman" w:hAnsi="Times New Roman CE" w:cs="Calibri"/>
                <w:sz w:val="20"/>
                <w:szCs w:val="20"/>
                <w:lang w:eastAsia="hu-HU"/>
              </w:rPr>
            </w:pPr>
          </w:p>
        </w:tc>
      </w:tr>
    </w:tbl>
    <w:p w:rsidR="00FC4A7B" w:rsidRDefault="00236F21"/>
    <w:sectPr w:rsidR="00FC4A7B" w:rsidSect="0067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 CE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F0D99"/>
    <w:rsid w:val="00236F21"/>
    <w:rsid w:val="00672A97"/>
    <w:rsid w:val="00D252E9"/>
    <w:rsid w:val="00EA2035"/>
    <w:rsid w:val="00F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2A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Ildikó</cp:lastModifiedBy>
  <cp:revision>2</cp:revision>
  <dcterms:created xsi:type="dcterms:W3CDTF">2020-10-01T16:09:00Z</dcterms:created>
  <dcterms:modified xsi:type="dcterms:W3CDTF">2020-10-01T16:11:00Z</dcterms:modified>
</cp:coreProperties>
</file>