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4B" w:rsidRPr="000D5BF4" w:rsidRDefault="00FE0A4B" w:rsidP="00FE0A4B">
      <w:pPr>
        <w:spacing w:after="200" w:line="276" w:lineRule="auto"/>
        <w:ind w:left="108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proofErr w:type="gramStart"/>
      <w:r>
        <w:rPr>
          <w:rFonts w:eastAsiaTheme="minorHAnsi"/>
          <w:sz w:val="24"/>
          <w:szCs w:val="24"/>
          <w:lang w:eastAsia="en-US"/>
        </w:rPr>
        <w:t>.</w:t>
      </w:r>
      <w:bookmarkStart w:id="0" w:name="_GoBack"/>
      <w:bookmarkEnd w:id="0"/>
      <w:r w:rsidRPr="000D5BF4">
        <w:rPr>
          <w:rFonts w:eastAsiaTheme="minorHAnsi"/>
          <w:sz w:val="24"/>
          <w:szCs w:val="24"/>
          <w:lang w:eastAsia="en-US"/>
        </w:rPr>
        <w:t>melléklet</w:t>
      </w:r>
      <w:proofErr w:type="gramEnd"/>
      <w:r w:rsidRPr="000D5BF4">
        <w:rPr>
          <w:rFonts w:eastAsiaTheme="minorHAnsi"/>
          <w:sz w:val="24"/>
          <w:szCs w:val="24"/>
          <w:lang w:eastAsia="en-US"/>
        </w:rPr>
        <w:t xml:space="preserve"> a fiatalok ösztönző és lakhatási támogatásairól szóló </w:t>
      </w:r>
      <w:r>
        <w:rPr>
          <w:rFonts w:eastAsiaTheme="minorHAnsi"/>
          <w:sz w:val="24"/>
          <w:szCs w:val="24"/>
          <w:lang w:eastAsia="en-US"/>
        </w:rPr>
        <w:t>5</w:t>
      </w:r>
      <w:r w:rsidRPr="000D5BF4">
        <w:rPr>
          <w:rFonts w:eastAsiaTheme="minorHAnsi"/>
          <w:sz w:val="24"/>
          <w:szCs w:val="24"/>
          <w:lang w:eastAsia="en-US"/>
        </w:rPr>
        <w:t>/20</w:t>
      </w:r>
      <w:r>
        <w:rPr>
          <w:rFonts w:eastAsiaTheme="minorHAnsi"/>
          <w:sz w:val="24"/>
          <w:szCs w:val="24"/>
          <w:lang w:eastAsia="en-US"/>
        </w:rPr>
        <w:t>20</w:t>
      </w:r>
      <w:r w:rsidRPr="000D5BF4">
        <w:rPr>
          <w:rFonts w:eastAsiaTheme="minorHAnsi"/>
          <w:sz w:val="24"/>
          <w:szCs w:val="24"/>
          <w:lang w:eastAsia="en-US"/>
        </w:rPr>
        <w:t>.(</w:t>
      </w:r>
      <w:r>
        <w:rPr>
          <w:rFonts w:eastAsiaTheme="minorHAnsi"/>
          <w:sz w:val="24"/>
          <w:szCs w:val="24"/>
          <w:lang w:eastAsia="en-US"/>
        </w:rPr>
        <w:t>II.28</w:t>
      </w:r>
      <w:r w:rsidRPr="000D5BF4">
        <w:rPr>
          <w:rFonts w:eastAsiaTheme="minorHAnsi"/>
          <w:sz w:val="24"/>
          <w:szCs w:val="24"/>
          <w:lang w:eastAsia="en-US"/>
        </w:rPr>
        <w:t>.) önkormányzati rendelethez</w:t>
      </w:r>
    </w:p>
    <w:p w:rsidR="00FE0A4B" w:rsidRPr="000D5BF4" w:rsidRDefault="00FE0A4B" w:rsidP="00FE0A4B">
      <w:pPr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E0A4B" w:rsidRPr="000D5BF4" w:rsidRDefault="00FE0A4B" w:rsidP="00FE0A4B">
      <w:pPr>
        <w:spacing w:after="200" w:line="276" w:lineRule="auto"/>
        <w:ind w:left="720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0D5BF4">
        <w:rPr>
          <w:rFonts w:eastAsiaTheme="minorHAnsi"/>
          <w:b/>
          <w:sz w:val="24"/>
          <w:szCs w:val="24"/>
          <w:lang w:eastAsia="en-US"/>
        </w:rPr>
        <w:t>A tiszavasváriból ingázók támogatására benyújtott pályázatok értékelési szempontjai</w:t>
      </w:r>
    </w:p>
    <w:p w:rsidR="00FE0A4B" w:rsidRPr="000D5BF4" w:rsidRDefault="00FE0A4B" w:rsidP="00FE0A4B">
      <w:pPr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B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Értékelési szempont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Adható pontszám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az egy háztartásban élők egy főre jutó jövedelme: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 háztartásban az egy főre jutó nettó jövedelem nem haladja meg a mindenkori minimálbér nettó összegét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 háztartásban az egy főre jutó nettó jövedelem a mindenkor minimálbér nettó összegének 100%-150%-a között van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 háztartásban az egy főre jutó nettó jövedelem a mindenkor minimálbér nettó összegének 150%-200%-a között van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30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20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10 pont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Ha a pályázó eltartó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 gyermek esetén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minden további gyermek esetén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5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5-5 pont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 pályázót foglalkoztató munkáltató típusa alapján: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önkormányzati intézményben, vagy </w:t>
            </w:r>
            <w:proofErr w:type="gram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részben</w:t>
            </w:r>
            <w:proofErr w:type="gramEnd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 vagy egészben önkormányzati feladatellátást szolgáló gazdálkodó szervezetnél fennálló munkaviszony, állami fenntartású szervezetnél fennálló munkaviszony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versenyszférában fennálló munkaviszony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15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30 pont</w:t>
            </w:r>
          </w:p>
        </w:tc>
      </w:tr>
    </w:tbl>
    <w:p w:rsidR="00FE0A4B" w:rsidRPr="000D5BF4" w:rsidRDefault="00FE0A4B" w:rsidP="00FE0A4B">
      <w:pPr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E0A4B" w:rsidRPr="000D5BF4" w:rsidRDefault="00FE0A4B" w:rsidP="00FE0A4B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0D5BF4">
        <w:rPr>
          <w:rFonts w:eastAsiaTheme="minorHAnsi"/>
          <w:sz w:val="24"/>
          <w:szCs w:val="24"/>
          <w:lang w:eastAsia="en-US"/>
        </w:rPr>
        <w:br w:type="page"/>
      </w:r>
    </w:p>
    <w:p w:rsidR="00FE0A4B" w:rsidRPr="000D5BF4" w:rsidRDefault="00FE0A4B" w:rsidP="00FE0A4B">
      <w:pPr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E0A4B" w:rsidRPr="00623BB3" w:rsidRDefault="00FE0A4B" w:rsidP="00FE0A4B">
      <w:pPr>
        <w:spacing w:after="200" w:line="276" w:lineRule="auto"/>
        <w:jc w:val="center"/>
        <w:rPr>
          <w:rFonts w:eastAsiaTheme="minorHAnsi"/>
          <w:strike/>
          <w:color w:val="FF0000"/>
          <w:sz w:val="24"/>
          <w:szCs w:val="24"/>
          <w:lang w:eastAsia="en-US"/>
        </w:rPr>
      </w:pPr>
      <w:r w:rsidRPr="000D5BF4">
        <w:rPr>
          <w:rFonts w:eastAsiaTheme="minorHAnsi"/>
          <w:b/>
          <w:sz w:val="24"/>
          <w:szCs w:val="24"/>
          <w:lang w:eastAsia="en-US"/>
        </w:rPr>
        <w:t>Tiszavasváriban lakó hiányszakma képviselőinek helyben tartása támogatására benyújtott pályázatok értékelési szempontjai</w:t>
      </w:r>
    </w:p>
    <w:p w:rsidR="00FE0A4B" w:rsidRPr="000D5BF4" w:rsidRDefault="00FE0A4B" w:rsidP="00FE0A4B">
      <w:pPr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B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Értékelési szempont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Adható pontszám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Ha a pályázó eltartó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 gyermek esetén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minden további gyermek esetén (legfeljebb három gyermek vehető figyelembe)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5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5-5 pont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 pályázót foglalkoztató munkáltató típusa alapján: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önkormányzati intézményben, vagy </w:t>
            </w:r>
            <w:proofErr w:type="gram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részben</w:t>
            </w:r>
            <w:proofErr w:type="gramEnd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 vagy egészben önkormányzati feladatellátást szolgáló gazdálkodó szervezetnél fennálló munkaviszony, állami fenntartású szervezetnél fennálló munkaviszony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versenyszférában fennálló munkaviszony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30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15 pont</w:t>
            </w:r>
          </w:p>
        </w:tc>
      </w:tr>
    </w:tbl>
    <w:p w:rsidR="00FE0A4B" w:rsidRPr="000D5BF4" w:rsidRDefault="00FE0A4B" w:rsidP="00FE0A4B">
      <w:pPr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E0A4B" w:rsidRPr="000D5BF4" w:rsidRDefault="00FE0A4B" w:rsidP="00FE0A4B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0D5BF4">
        <w:rPr>
          <w:rFonts w:eastAsiaTheme="minorHAnsi"/>
          <w:sz w:val="24"/>
          <w:szCs w:val="24"/>
          <w:lang w:eastAsia="en-US"/>
        </w:rPr>
        <w:br w:type="page"/>
      </w:r>
    </w:p>
    <w:p w:rsidR="00FE0A4B" w:rsidRPr="000D5BF4" w:rsidRDefault="00FE0A4B" w:rsidP="00FE0A4B">
      <w:pPr>
        <w:spacing w:after="200" w:line="276" w:lineRule="auto"/>
        <w:ind w:left="720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0D5BF4">
        <w:rPr>
          <w:rFonts w:eastAsiaTheme="minorHAnsi"/>
          <w:b/>
          <w:sz w:val="24"/>
          <w:szCs w:val="24"/>
          <w:lang w:eastAsia="en-US"/>
        </w:rPr>
        <w:lastRenderedPageBreak/>
        <w:t>Tiszavasváriban belterületi lakóépületet vásárló vagy belterületi ingatlanon lakóépületet építő fiatalok támogatására benyújtott pályázatok értékelési szempontjai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B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Értékelési szempont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Adható pontszám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Családban élő esetén az egy háztartásban élők egy főre jutó jövedelme: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 háztartásban az egy főre jutó nettó jövedelem legalább a mindenkori minimálbér nettó összegének 60%-</w:t>
            </w:r>
            <w:proofErr w:type="gram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</w:t>
            </w:r>
            <w:proofErr w:type="gramEnd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, de nem haladja meg a mindenkori minimálbér nettó összegének 150%-át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 háztartásban az egy főre jutó nettó jövedelem legalább a mindenkori minimálbér nettó összegének 60%-</w:t>
            </w:r>
            <w:proofErr w:type="gram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</w:t>
            </w:r>
            <w:proofErr w:type="gramEnd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, de nem haladja meg a mindenkori minimálbér nettó összegének 200%-át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 háztartásban az egy főre jutó nettó jövedelem legalább a mindenkori minimálbér nettó összegének 60%-</w:t>
            </w:r>
            <w:proofErr w:type="gram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</w:t>
            </w:r>
            <w:proofErr w:type="gramEnd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, de nem haladja meg a mindenkori minimálbér nettó összegének 250%-át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Egyedülálló esetén az egy főre jutó jövedelem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az egy főre jutó nettó jövedelem legalább a mindenkori minimálbér nettó összegének 60%-</w:t>
            </w:r>
            <w:proofErr w:type="gram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</w:t>
            </w:r>
            <w:proofErr w:type="gramEnd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, de nem haladja meg a mindenkori minimálbér nettó összegének 200%-át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az egy főre jutó nettó jövedelem legalább a mindenkori minimálbér nettó összegének 60%-</w:t>
            </w:r>
            <w:proofErr w:type="gram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</w:t>
            </w:r>
            <w:proofErr w:type="gramEnd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, de nem haladja meg a mindenkori minimálbér nettó összegének 250%-át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az egy főre jutó nettó jövedelem legalább a mindenkori minimálbér nettó összegének 60%-</w:t>
            </w:r>
            <w:proofErr w:type="gram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</w:t>
            </w:r>
            <w:proofErr w:type="gramEnd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, de nem haladja meg a mindenkori minimálbér nettó összegének 300%-át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30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20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10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30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20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10 pont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 pályázót foglalkoztató munkáltató típusa alapján: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önkormányzati intézményben, vagy </w:t>
            </w:r>
            <w:proofErr w:type="gram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részben</w:t>
            </w:r>
            <w:proofErr w:type="gramEnd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 vagy egészben önkormányzati feladatellátást szolgáló gazdálkodó szervezetnél fennálló munkaviszony, állami fenntartású szervezetnél fennálló munkaviszony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versenyszférában fennálló munkaviszony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15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30 pont</w:t>
            </w:r>
          </w:p>
        </w:tc>
      </w:tr>
    </w:tbl>
    <w:p w:rsidR="00FE0A4B" w:rsidRPr="000D5BF4" w:rsidRDefault="00FE0A4B" w:rsidP="00FE0A4B">
      <w:pPr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E0A4B" w:rsidRPr="000D5BF4" w:rsidRDefault="00FE0A4B" w:rsidP="00FE0A4B">
      <w:pPr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E0A4B" w:rsidRPr="000D5BF4" w:rsidRDefault="00FE0A4B" w:rsidP="00FE0A4B">
      <w:pPr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E0A4B" w:rsidRPr="000D5BF4" w:rsidRDefault="00FE0A4B" w:rsidP="00FE0A4B">
      <w:pPr>
        <w:spacing w:after="200" w:line="276" w:lineRule="auto"/>
        <w:ind w:left="720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0D5BF4">
        <w:rPr>
          <w:rFonts w:eastAsiaTheme="minorHAnsi"/>
          <w:b/>
          <w:sz w:val="24"/>
          <w:szCs w:val="24"/>
          <w:lang w:eastAsia="en-US"/>
        </w:rPr>
        <w:t>Lakhatási támogatásra benyújtott pályázatok értékelési szempontjai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B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Értékelési szempont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Adható pontszám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 pályázót foglalkoztató munkáltató típusa alapján: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önkormányzati intézményben, vagy </w:t>
            </w:r>
            <w:proofErr w:type="gram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részben</w:t>
            </w:r>
            <w:proofErr w:type="gramEnd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 vagy egészben önkormányzati feladatellátást szolgáló gazdálkodó szervezetnél fennálló munkaviszony, állami fenntartású szervezetnél fennálló munkaviszony</w:t>
            </w:r>
          </w:p>
          <w:p w:rsidR="00FE0A4B" w:rsidRPr="000D5BF4" w:rsidRDefault="00FE0A4B" w:rsidP="003B7DE2">
            <w:pPr>
              <w:numPr>
                <w:ilvl w:val="0"/>
                <w:numId w:val="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versenyszférában fennálló munkaviszony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30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20 pont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Annak vállalása, hogy a lakás elnyerése esetén valamely pénzintézetnél a használati jogviszony időtartamára lakás </w:t>
            </w:r>
            <w:proofErr w:type="spell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előtakarékossági</w:t>
            </w:r>
            <w:proofErr w:type="spellEnd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 szerződést köt, melynek összege havonta minimum 10.000,</w:t>
            </w:r>
            <w:proofErr w:type="spellStart"/>
            <w:r w:rsidRPr="000D5BF4">
              <w:rPr>
                <w:rFonts w:eastAsiaTheme="minorHAnsi"/>
                <w:sz w:val="24"/>
                <w:szCs w:val="24"/>
                <w:lang w:eastAsia="en-US"/>
              </w:rPr>
              <w:t>-Ft</w:t>
            </w:r>
            <w:proofErr w:type="spellEnd"/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5 pont</w:t>
            </w:r>
          </w:p>
        </w:tc>
      </w:tr>
      <w:tr w:rsidR="00FE0A4B" w:rsidRPr="000D5BF4" w:rsidTr="003B7DE2">
        <w:tc>
          <w:tcPr>
            <w:tcW w:w="664" w:type="dxa"/>
          </w:tcPr>
          <w:p w:rsidR="00FE0A4B" w:rsidRPr="000D5BF4" w:rsidRDefault="00FE0A4B" w:rsidP="003B7DE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5048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A rendelet 1.§ 5. pontjában meghatározott hiányszakmák vonatkozásában felsősokú képzettséggel, felsőfokú szakképzettséggel rendelkezik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 xml:space="preserve">minden további szakképesítés, szakvizsga </w:t>
            </w:r>
          </w:p>
        </w:tc>
        <w:tc>
          <w:tcPr>
            <w:tcW w:w="2856" w:type="dxa"/>
          </w:tcPr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5 pont</w:t>
            </w: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0A4B" w:rsidRPr="000D5BF4" w:rsidRDefault="00FE0A4B" w:rsidP="003B7DE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5BF4">
              <w:rPr>
                <w:rFonts w:eastAsiaTheme="minorHAnsi"/>
                <w:sz w:val="24"/>
                <w:szCs w:val="24"/>
                <w:lang w:eastAsia="en-US"/>
              </w:rPr>
              <w:t>2-2 pont</w:t>
            </w:r>
          </w:p>
        </w:tc>
      </w:tr>
    </w:tbl>
    <w:p w:rsidR="00FE0A4B" w:rsidRPr="000D5BF4" w:rsidRDefault="00FE0A4B" w:rsidP="00FE0A4B">
      <w:pPr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C276AD" w:rsidRPr="00FE0A4B" w:rsidRDefault="00C276AD" w:rsidP="00FE0A4B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sectPr w:rsidR="00C276AD" w:rsidRPr="00FE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906"/>
    <w:multiLevelType w:val="hybridMultilevel"/>
    <w:tmpl w:val="2974C15C"/>
    <w:lvl w:ilvl="0" w:tplc="FBBAA3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61E40"/>
    <w:multiLevelType w:val="hybridMultilevel"/>
    <w:tmpl w:val="B894B2C8"/>
    <w:lvl w:ilvl="0" w:tplc="148A3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4B"/>
    <w:rsid w:val="00C276AD"/>
    <w:rsid w:val="00F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0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E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0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E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2020-03-03T13:59:00Z</dcterms:created>
  <dcterms:modified xsi:type="dcterms:W3CDTF">2020-03-03T14:00:00Z</dcterms:modified>
</cp:coreProperties>
</file>