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5F9B" w:rsidRDefault="007F0E5D" w:rsidP="001A5F9B">
      <w:pPr>
        <w:tabs>
          <w:tab w:val="center" w:pos="1418"/>
          <w:tab w:val="center" w:pos="7371"/>
        </w:tabs>
      </w:pPr>
      <w:r>
        <w:t xml:space="preserve">1. </w:t>
      </w:r>
      <w:r w:rsidR="008600C7">
        <w:t>melléklet a 16/2015.(X</w:t>
      </w:r>
      <w:r w:rsidR="001A5F9B">
        <w:t>.29.) önkormányzati rendelethez</w:t>
      </w:r>
    </w:p>
    <w:p w:rsidR="001A5F9B" w:rsidRDefault="001A5F9B" w:rsidP="001A5F9B">
      <w:pPr>
        <w:tabs>
          <w:tab w:val="center" w:pos="1418"/>
          <w:tab w:val="center" w:pos="7371"/>
        </w:tabs>
        <w:jc w:val="right"/>
      </w:pPr>
    </w:p>
    <w:p w:rsidR="001A5F9B" w:rsidRDefault="001A5F9B" w:rsidP="001A5F9B">
      <w:pPr>
        <w:tabs>
          <w:tab w:val="center" w:pos="1418"/>
          <w:tab w:val="center" w:pos="7371"/>
        </w:tabs>
        <w:jc w:val="right"/>
      </w:pPr>
    </w:p>
    <w:tbl>
      <w:tblPr>
        <w:tblStyle w:val="Rcsostblzat"/>
        <w:tblW w:w="0" w:type="auto"/>
        <w:tblLook w:val="04A0"/>
      </w:tblPr>
      <w:tblGrid>
        <w:gridCol w:w="588"/>
        <w:gridCol w:w="6720"/>
        <w:gridCol w:w="1920"/>
      </w:tblGrid>
      <w:tr w:rsidR="001A5F9B" w:rsidRPr="009E01D3" w:rsidTr="00B3359F">
        <w:tc>
          <w:tcPr>
            <w:tcW w:w="588" w:type="dxa"/>
          </w:tcPr>
          <w:p w:rsidR="001A5F9B" w:rsidRPr="009E01D3" w:rsidRDefault="001A5F9B" w:rsidP="00B3359F">
            <w:pPr>
              <w:tabs>
                <w:tab w:val="center" w:pos="1418"/>
                <w:tab w:val="center" w:pos="7371"/>
              </w:tabs>
              <w:spacing w:before="240" w:after="240"/>
              <w:jc w:val="both"/>
              <w:rPr>
                <w:b/>
              </w:rPr>
            </w:pPr>
          </w:p>
        </w:tc>
        <w:tc>
          <w:tcPr>
            <w:tcW w:w="6720" w:type="dxa"/>
          </w:tcPr>
          <w:p w:rsidR="001A5F9B" w:rsidRPr="009E01D3" w:rsidRDefault="001A5F9B" w:rsidP="00B3359F">
            <w:pPr>
              <w:tabs>
                <w:tab w:val="center" w:pos="1418"/>
                <w:tab w:val="center" w:pos="7371"/>
              </w:tabs>
              <w:spacing w:before="240" w:after="240"/>
              <w:jc w:val="center"/>
              <w:rPr>
                <w:b/>
              </w:rPr>
            </w:pPr>
            <w:r w:rsidRPr="009E01D3">
              <w:rPr>
                <w:b/>
              </w:rPr>
              <w:t>Megnevezés</w:t>
            </w:r>
          </w:p>
        </w:tc>
        <w:tc>
          <w:tcPr>
            <w:tcW w:w="1920" w:type="dxa"/>
          </w:tcPr>
          <w:p w:rsidR="001A5F9B" w:rsidRPr="009E01D3" w:rsidRDefault="001A5F9B" w:rsidP="00B3359F">
            <w:pPr>
              <w:tabs>
                <w:tab w:val="center" w:pos="1418"/>
                <w:tab w:val="center" w:pos="7371"/>
              </w:tabs>
              <w:spacing w:before="240" w:after="240"/>
              <w:jc w:val="center"/>
              <w:rPr>
                <w:b/>
              </w:rPr>
            </w:pPr>
            <w:r w:rsidRPr="009E01D3">
              <w:rPr>
                <w:b/>
              </w:rPr>
              <w:t>Díj (Ft/m</w:t>
            </w:r>
            <w:r w:rsidRPr="009E01D3">
              <w:rPr>
                <w:b/>
                <w:vertAlign w:val="superscript"/>
              </w:rPr>
              <w:t>2</w:t>
            </w:r>
            <w:r w:rsidRPr="009E01D3">
              <w:rPr>
                <w:b/>
              </w:rPr>
              <w:t>/nap)*</w:t>
            </w:r>
          </w:p>
        </w:tc>
      </w:tr>
      <w:tr w:rsidR="001A5F9B" w:rsidTr="00B3359F">
        <w:tc>
          <w:tcPr>
            <w:tcW w:w="588" w:type="dxa"/>
          </w:tcPr>
          <w:p w:rsidR="001A5F9B" w:rsidRDefault="001A5F9B" w:rsidP="00B3359F">
            <w:pPr>
              <w:tabs>
                <w:tab w:val="center" w:pos="1418"/>
                <w:tab w:val="center" w:pos="7371"/>
              </w:tabs>
              <w:spacing w:before="240" w:after="240"/>
              <w:jc w:val="both"/>
            </w:pPr>
            <w:r>
              <w:t>1.</w:t>
            </w:r>
          </w:p>
        </w:tc>
        <w:tc>
          <w:tcPr>
            <w:tcW w:w="6720" w:type="dxa"/>
          </w:tcPr>
          <w:p w:rsidR="001A5F9B" w:rsidRDefault="001A5F9B" w:rsidP="00B3359F">
            <w:pPr>
              <w:tabs>
                <w:tab w:val="center" w:pos="1418"/>
                <w:tab w:val="center" w:pos="7371"/>
              </w:tabs>
              <w:spacing w:before="240" w:after="240"/>
              <w:jc w:val="both"/>
            </w:pPr>
            <w:r>
              <w:t>A közterületbe 10 cm-en túl benyúló üzlethomlokzat, lépcső, kirakatszekrény, ernyőszerkezet, hirdető-berendezés, továbbá cég és címtábla</w:t>
            </w:r>
          </w:p>
        </w:tc>
        <w:tc>
          <w:tcPr>
            <w:tcW w:w="1920" w:type="dxa"/>
            <w:vAlign w:val="center"/>
          </w:tcPr>
          <w:p w:rsidR="001A5F9B" w:rsidRDefault="001A5F9B" w:rsidP="00B3359F">
            <w:pPr>
              <w:tabs>
                <w:tab w:val="center" w:pos="1418"/>
                <w:tab w:val="center" w:pos="7371"/>
              </w:tabs>
              <w:spacing w:before="240" w:after="240"/>
              <w:jc w:val="center"/>
            </w:pPr>
            <w:r>
              <w:t>50</w:t>
            </w:r>
          </w:p>
        </w:tc>
      </w:tr>
      <w:tr w:rsidR="001A5F9B" w:rsidTr="00B3359F">
        <w:tc>
          <w:tcPr>
            <w:tcW w:w="588" w:type="dxa"/>
          </w:tcPr>
          <w:p w:rsidR="001A5F9B" w:rsidRDefault="001A5F9B" w:rsidP="00B3359F">
            <w:pPr>
              <w:tabs>
                <w:tab w:val="center" w:pos="1418"/>
                <w:tab w:val="center" w:pos="7371"/>
              </w:tabs>
              <w:spacing w:before="240" w:after="240"/>
              <w:jc w:val="both"/>
            </w:pPr>
            <w:r>
              <w:t>2.</w:t>
            </w:r>
          </w:p>
        </w:tc>
        <w:tc>
          <w:tcPr>
            <w:tcW w:w="6720" w:type="dxa"/>
          </w:tcPr>
          <w:p w:rsidR="001A5F9B" w:rsidRDefault="001A5F9B" w:rsidP="00B3359F">
            <w:pPr>
              <w:tabs>
                <w:tab w:val="center" w:pos="1418"/>
                <w:tab w:val="center" w:pos="7371"/>
              </w:tabs>
              <w:spacing w:before="240" w:after="240"/>
              <w:jc w:val="both"/>
            </w:pPr>
            <w:r>
              <w:t xml:space="preserve">Alkalmi jellegű kereskedelmi, vendéglátó ipari tevékenység sátorból, asztalról, járműből történő árusítás esetén </w:t>
            </w:r>
          </w:p>
        </w:tc>
        <w:tc>
          <w:tcPr>
            <w:tcW w:w="1920" w:type="dxa"/>
            <w:vAlign w:val="center"/>
          </w:tcPr>
          <w:p w:rsidR="001A5F9B" w:rsidRDefault="001A5F9B" w:rsidP="00B3359F">
            <w:pPr>
              <w:tabs>
                <w:tab w:val="center" w:pos="1418"/>
                <w:tab w:val="center" w:pos="7371"/>
              </w:tabs>
              <w:spacing w:before="240" w:after="240"/>
              <w:jc w:val="center"/>
            </w:pPr>
            <w:r>
              <w:t>150</w:t>
            </w:r>
          </w:p>
        </w:tc>
      </w:tr>
      <w:tr w:rsidR="001A5F9B" w:rsidTr="00B3359F">
        <w:tc>
          <w:tcPr>
            <w:tcW w:w="588" w:type="dxa"/>
          </w:tcPr>
          <w:p w:rsidR="001A5F9B" w:rsidRDefault="001A5F9B" w:rsidP="00B3359F">
            <w:pPr>
              <w:tabs>
                <w:tab w:val="center" w:pos="1418"/>
                <w:tab w:val="center" w:pos="7371"/>
              </w:tabs>
              <w:spacing w:before="240" w:after="240"/>
              <w:jc w:val="both"/>
            </w:pPr>
            <w:r>
              <w:t>3.</w:t>
            </w:r>
          </w:p>
        </w:tc>
        <w:tc>
          <w:tcPr>
            <w:tcW w:w="6720" w:type="dxa"/>
          </w:tcPr>
          <w:p w:rsidR="001A5F9B" w:rsidRDefault="001A5F9B" w:rsidP="00B3359F">
            <w:pPr>
              <w:tabs>
                <w:tab w:val="center" w:pos="1418"/>
                <w:tab w:val="center" w:pos="7371"/>
              </w:tabs>
              <w:spacing w:before="240" w:after="240"/>
              <w:jc w:val="both"/>
            </w:pPr>
            <w:r>
              <w:t>Vendéglátó ipari előkert</w:t>
            </w:r>
          </w:p>
        </w:tc>
        <w:tc>
          <w:tcPr>
            <w:tcW w:w="1920" w:type="dxa"/>
            <w:vAlign w:val="center"/>
          </w:tcPr>
          <w:p w:rsidR="001A5F9B" w:rsidRDefault="001A5F9B" w:rsidP="00B3359F">
            <w:pPr>
              <w:tabs>
                <w:tab w:val="center" w:pos="1418"/>
                <w:tab w:val="center" w:pos="7371"/>
              </w:tabs>
              <w:spacing w:before="240" w:after="240"/>
              <w:jc w:val="center"/>
            </w:pPr>
            <w:r>
              <w:t>100</w:t>
            </w:r>
          </w:p>
        </w:tc>
      </w:tr>
      <w:tr w:rsidR="001A5F9B" w:rsidTr="00B3359F">
        <w:tc>
          <w:tcPr>
            <w:tcW w:w="588" w:type="dxa"/>
          </w:tcPr>
          <w:p w:rsidR="001A5F9B" w:rsidRDefault="001A5F9B" w:rsidP="00B3359F">
            <w:pPr>
              <w:tabs>
                <w:tab w:val="center" w:pos="1418"/>
                <w:tab w:val="center" w:pos="7371"/>
              </w:tabs>
              <w:spacing w:before="240" w:after="240"/>
              <w:jc w:val="both"/>
            </w:pPr>
            <w:r>
              <w:t>4.</w:t>
            </w:r>
          </w:p>
        </w:tc>
        <w:tc>
          <w:tcPr>
            <w:tcW w:w="6720" w:type="dxa"/>
          </w:tcPr>
          <w:p w:rsidR="001A5F9B" w:rsidRDefault="001A5F9B" w:rsidP="00B3359F">
            <w:pPr>
              <w:tabs>
                <w:tab w:val="center" w:pos="1418"/>
                <w:tab w:val="center" w:pos="7371"/>
              </w:tabs>
              <w:spacing w:before="240" w:after="240"/>
              <w:jc w:val="both"/>
            </w:pPr>
            <w:r>
              <w:t xml:space="preserve">Mutatványos tevékenység, céllövölde </w:t>
            </w:r>
          </w:p>
        </w:tc>
        <w:tc>
          <w:tcPr>
            <w:tcW w:w="1920" w:type="dxa"/>
            <w:vAlign w:val="center"/>
          </w:tcPr>
          <w:p w:rsidR="001A5F9B" w:rsidRDefault="001A5F9B" w:rsidP="00B3359F">
            <w:pPr>
              <w:tabs>
                <w:tab w:val="center" w:pos="1418"/>
                <w:tab w:val="center" w:pos="7371"/>
              </w:tabs>
              <w:spacing w:before="240" w:after="240"/>
              <w:jc w:val="center"/>
            </w:pPr>
            <w:r>
              <w:t>100</w:t>
            </w:r>
          </w:p>
        </w:tc>
      </w:tr>
      <w:tr w:rsidR="001A5F9B" w:rsidTr="00B3359F">
        <w:tc>
          <w:tcPr>
            <w:tcW w:w="588" w:type="dxa"/>
          </w:tcPr>
          <w:p w:rsidR="001A5F9B" w:rsidRDefault="001A5F9B" w:rsidP="00B3359F">
            <w:pPr>
              <w:tabs>
                <w:tab w:val="center" w:pos="1418"/>
                <w:tab w:val="center" w:pos="7371"/>
              </w:tabs>
              <w:spacing w:before="240" w:after="240"/>
              <w:jc w:val="both"/>
            </w:pPr>
            <w:r>
              <w:t>5.</w:t>
            </w:r>
          </w:p>
        </w:tc>
        <w:tc>
          <w:tcPr>
            <w:tcW w:w="6720" w:type="dxa"/>
          </w:tcPr>
          <w:p w:rsidR="001A5F9B" w:rsidRDefault="001A5F9B" w:rsidP="00B3359F">
            <w:pPr>
              <w:tabs>
                <w:tab w:val="center" w:pos="1418"/>
                <w:tab w:val="center" w:pos="7371"/>
              </w:tabs>
              <w:spacing w:before="240" w:after="240"/>
              <w:jc w:val="both"/>
            </w:pPr>
            <w:r>
              <w:t>Építési munkával kapcsolatban elfoglalt közterület</w:t>
            </w:r>
          </w:p>
        </w:tc>
        <w:tc>
          <w:tcPr>
            <w:tcW w:w="1920" w:type="dxa"/>
            <w:vAlign w:val="center"/>
          </w:tcPr>
          <w:p w:rsidR="001A5F9B" w:rsidRDefault="001A5F9B" w:rsidP="00B3359F">
            <w:pPr>
              <w:tabs>
                <w:tab w:val="center" w:pos="1418"/>
                <w:tab w:val="center" w:pos="7371"/>
              </w:tabs>
              <w:spacing w:before="240" w:after="240"/>
              <w:jc w:val="center"/>
            </w:pPr>
            <w:r>
              <w:t>50</w:t>
            </w:r>
          </w:p>
        </w:tc>
      </w:tr>
      <w:tr w:rsidR="001A5F9B" w:rsidTr="00B3359F">
        <w:tc>
          <w:tcPr>
            <w:tcW w:w="588" w:type="dxa"/>
          </w:tcPr>
          <w:p w:rsidR="001A5F9B" w:rsidRDefault="001A5F9B" w:rsidP="00B3359F">
            <w:pPr>
              <w:tabs>
                <w:tab w:val="center" w:pos="1418"/>
                <w:tab w:val="center" w:pos="7371"/>
              </w:tabs>
              <w:spacing w:before="240" w:after="240"/>
              <w:jc w:val="both"/>
            </w:pPr>
            <w:r>
              <w:t>6.</w:t>
            </w:r>
          </w:p>
        </w:tc>
        <w:tc>
          <w:tcPr>
            <w:tcW w:w="6720" w:type="dxa"/>
          </w:tcPr>
          <w:p w:rsidR="001A5F9B" w:rsidRDefault="001A5F9B" w:rsidP="00B3359F">
            <w:pPr>
              <w:tabs>
                <w:tab w:val="center" w:pos="1418"/>
                <w:tab w:val="center" w:pos="7371"/>
              </w:tabs>
              <w:spacing w:before="240" w:after="240"/>
              <w:jc w:val="both"/>
            </w:pPr>
            <w:r>
              <w:t>Jármű és gépjármű tárolása</w:t>
            </w:r>
          </w:p>
        </w:tc>
        <w:tc>
          <w:tcPr>
            <w:tcW w:w="1920" w:type="dxa"/>
            <w:vAlign w:val="center"/>
          </w:tcPr>
          <w:p w:rsidR="001A5F9B" w:rsidRDefault="001A5F9B" w:rsidP="00B3359F">
            <w:pPr>
              <w:tabs>
                <w:tab w:val="center" w:pos="1418"/>
                <w:tab w:val="center" w:pos="7371"/>
              </w:tabs>
              <w:spacing w:before="240" w:after="240"/>
              <w:jc w:val="center"/>
            </w:pPr>
            <w:r>
              <w:t>50</w:t>
            </w:r>
          </w:p>
        </w:tc>
      </w:tr>
      <w:tr w:rsidR="001A5F9B" w:rsidTr="00B3359F">
        <w:tc>
          <w:tcPr>
            <w:tcW w:w="588" w:type="dxa"/>
          </w:tcPr>
          <w:p w:rsidR="001A5F9B" w:rsidRDefault="001A5F9B" w:rsidP="00B3359F">
            <w:pPr>
              <w:tabs>
                <w:tab w:val="center" w:pos="1418"/>
                <w:tab w:val="center" w:pos="7371"/>
              </w:tabs>
              <w:spacing w:before="240" w:after="240"/>
              <w:jc w:val="both"/>
            </w:pPr>
            <w:r>
              <w:t>7.</w:t>
            </w:r>
          </w:p>
        </w:tc>
        <w:tc>
          <w:tcPr>
            <w:tcW w:w="6720" w:type="dxa"/>
          </w:tcPr>
          <w:p w:rsidR="001A5F9B" w:rsidRDefault="001A5F9B" w:rsidP="00B3359F">
            <w:pPr>
              <w:tabs>
                <w:tab w:val="center" w:pos="1418"/>
                <w:tab w:val="center" w:pos="7371"/>
              </w:tabs>
              <w:spacing w:before="240" w:after="240"/>
              <w:jc w:val="both"/>
            </w:pPr>
            <w:r>
              <w:t>Sport- és kulturális rendezvény</w:t>
            </w:r>
          </w:p>
        </w:tc>
        <w:tc>
          <w:tcPr>
            <w:tcW w:w="1920" w:type="dxa"/>
            <w:vAlign w:val="center"/>
          </w:tcPr>
          <w:p w:rsidR="001A5F9B" w:rsidRDefault="001A5F9B" w:rsidP="00B3359F">
            <w:pPr>
              <w:tabs>
                <w:tab w:val="center" w:pos="1418"/>
                <w:tab w:val="center" w:pos="7371"/>
              </w:tabs>
              <w:spacing w:before="240" w:after="240"/>
              <w:jc w:val="center"/>
            </w:pPr>
            <w:r>
              <w:t>50</w:t>
            </w:r>
          </w:p>
        </w:tc>
      </w:tr>
      <w:tr w:rsidR="001A5F9B" w:rsidTr="00B3359F">
        <w:tc>
          <w:tcPr>
            <w:tcW w:w="588" w:type="dxa"/>
          </w:tcPr>
          <w:p w:rsidR="001A5F9B" w:rsidRDefault="001A5F9B" w:rsidP="00B3359F">
            <w:pPr>
              <w:tabs>
                <w:tab w:val="center" w:pos="1418"/>
                <w:tab w:val="center" w:pos="7371"/>
              </w:tabs>
              <w:spacing w:before="240" w:after="240"/>
              <w:jc w:val="both"/>
            </w:pPr>
            <w:r>
              <w:t>7.</w:t>
            </w:r>
          </w:p>
        </w:tc>
        <w:tc>
          <w:tcPr>
            <w:tcW w:w="6720" w:type="dxa"/>
          </w:tcPr>
          <w:p w:rsidR="001A5F9B" w:rsidRDefault="001A5F9B" w:rsidP="00B3359F">
            <w:pPr>
              <w:tabs>
                <w:tab w:val="center" w:pos="1418"/>
                <w:tab w:val="center" w:pos="7371"/>
              </w:tabs>
              <w:spacing w:before="240" w:after="240"/>
              <w:jc w:val="both"/>
            </w:pPr>
            <w:r>
              <w:t>Egyéb célra igénybevett terület</w:t>
            </w:r>
          </w:p>
        </w:tc>
        <w:tc>
          <w:tcPr>
            <w:tcW w:w="1920" w:type="dxa"/>
            <w:vAlign w:val="center"/>
          </w:tcPr>
          <w:p w:rsidR="001A5F9B" w:rsidRDefault="001A5F9B" w:rsidP="00B3359F">
            <w:pPr>
              <w:tabs>
                <w:tab w:val="center" w:pos="1418"/>
                <w:tab w:val="center" w:pos="7371"/>
              </w:tabs>
              <w:spacing w:before="240" w:after="240"/>
              <w:jc w:val="center"/>
            </w:pPr>
            <w:r>
              <w:t>50</w:t>
            </w:r>
          </w:p>
        </w:tc>
      </w:tr>
    </w:tbl>
    <w:p w:rsidR="001A5F9B" w:rsidRDefault="001A5F9B" w:rsidP="001A5F9B">
      <w:pPr>
        <w:tabs>
          <w:tab w:val="center" w:pos="1418"/>
          <w:tab w:val="center" w:pos="7371"/>
        </w:tabs>
        <w:spacing w:before="240" w:after="240"/>
        <w:jc w:val="both"/>
      </w:pPr>
      <w:r>
        <w:t xml:space="preserve">* Az árak az </w:t>
      </w:r>
      <w:proofErr w:type="spellStart"/>
      <w:r>
        <w:t>ÁFA-t</w:t>
      </w:r>
      <w:proofErr w:type="spellEnd"/>
      <w:r>
        <w:t xml:space="preserve"> nem tartalmazzák.</w:t>
      </w:r>
    </w:p>
    <w:p w:rsidR="007E2C7B" w:rsidRDefault="007E2C7B"/>
    <w:sectPr w:rsidR="007E2C7B" w:rsidSect="007E2C7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hyphenationZone w:val="425"/>
  <w:characterSpacingControl w:val="doNotCompress"/>
  <w:compat/>
  <w:rsids>
    <w:rsidRoot w:val="001A5F9B"/>
    <w:rsid w:val="00133863"/>
    <w:rsid w:val="001451DF"/>
    <w:rsid w:val="001A5F9B"/>
    <w:rsid w:val="001E14BD"/>
    <w:rsid w:val="00214FFC"/>
    <w:rsid w:val="00221647"/>
    <w:rsid w:val="0027260D"/>
    <w:rsid w:val="002A3A18"/>
    <w:rsid w:val="002D4B1A"/>
    <w:rsid w:val="002F6CF4"/>
    <w:rsid w:val="003A1AA3"/>
    <w:rsid w:val="003C0314"/>
    <w:rsid w:val="003C6CAB"/>
    <w:rsid w:val="003F599B"/>
    <w:rsid w:val="004716D7"/>
    <w:rsid w:val="00537533"/>
    <w:rsid w:val="0055313E"/>
    <w:rsid w:val="00572AC9"/>
    <w:rsid w:val="00595FE7"/>
    <w:rsid w:val="006076CD"/>
    <w:rsid w:val="006304FC"/>
    <w:rsid w:val="00635D31"/>
    <w:rsid w:val="006B047A"/>
    <w:rsid w:val="006B24D3"/>
    <w:rsid w:val="00704848"/>
    <w:rsid w:val="00721663"/>
    <w:rsid w:val="0075373C"/>
    <w:rsid w:val="00763B07"/>
    <w:rsid w:val="00791539"/>
    <w:rsid w:val="007E2C7B"/>
    <w:rsid w:val="007F0E5D"/>
    <w:rsid w:val="007F4D3C"/>
    <w:rsid w:val="00835102"/>
    <w:rsid w:val="0085196D"/>
    <w:rsid w:val="008600C7"/>
    <w:rsid w:val="008B37A5"/>
    <w:rsid w:val="008C343F"/>
    <w:rsid w:val="008C6370"/>
    <w:rsid w:val="008C7E69"/>
    <w:rsid w:val="00922220"/>
    <w:rsid w:val="009E47FE"/>
    <w:rsid w:val="00A40890"/>
    <w:rsid w:val="00AC37B0"/>
    <w:rsid w:val="00B45DA1"/>
    <w:rsid w:val="00B86D22"/>
    <w:rsid w:val="00C14F82"/>
    <w:rsid w:val="00C422F9"/>
    <w:rsid w:val="00C84168"/>
    <w:rsid w:val="00CA002E"/>
    <w:rsid w:val="00CA658A"/>
    <w:rsid w:val="00CA6B4F"/>
    <w:rsid w:val="00CE2F0A"/>
    <w:rsid w:val="00D80AAB"/>
    <w:rsid w:val="00D868C9"/>
    <w:rsid w:val="00DD38C9"/>
    <w:rsid w:val="00E72182"/>
    <w:rsid w:val="00EA288D"/>
    <w:rsid w:val="00EB4770"/>
    <w:rsid w:val="00F0138D"/>
    <w:rsid w:val="00F6669D"/>
    <w:rsid w:val="00F7321C"/>
    <w:rsid w:val="00FB0D8B"/>
    <w:rsid w:val="00FB1EB2"/>
    <w:rsid w:val="00FB5E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1A5F9B"/>
    <w:pPr>
      <w:spacing w:after="0" w:line="240" w:lineRule="auto"/>
    </w:pPr>
    <w:rPr>
      <w:rFonts w:ascii="Times New Roman" w:hAnsi="Times New Roman"/>
      <w:sz w:val="24"/>
      <w:szCs w:val="24"/>
      <w:lang w:val="hu-HU" w:eastAsia="hu-HU" w:bidi="ar-SA"/>
    </w:rPr>
  </w:style>
  <w:style w:type="paragraph" w:styleId="Cmsor1">
    <w:name w:val="heading 1"/>
    <w:basedOn w:val="Norml"/>
    <w:next w:val="Norml"/>
    <w:link w:val="Cmsor1Char"/>
    <w:uiPriority w:val="9"/>
    <w:qFormat/>
    <w:rsid w:val="002D4B1A"/>
    <w:pPr>
      <w:spacing w:before="480"/>
      <w:contextualSpacing/>
      <w:outlineLvl w:val="0"/>
    </w:pPr>
    <w:rPr>
      <w:rFonts w:asciiTheme="majorHAnsi" w:eastAsiaTheme="majorEastAsia" w:hAnsiTheme="majorHAnsi" w:cstheme="majorBidi"/>
      <w:b/>
      <w:bCs/>
      <w:sz w:val="28"/>
      <w:szCs w:val="28"/>
      <w:lang w:val="en-US" w:eastAsia="en-US" w:bidi="en-US"/>
    </w:rPr>
  </w:style>
  <w:style w:type="paragraph" w:styleId="Cmsor2">
    <w:name w:val="heading 2"/>
    <w:basedOn w:val="Norml"/>
    <w:next w:val="Norml"/>
    <w:link w:val="Cmsor2Char"/>
    <w:uiPriority w:val="9"/>
    <w:unhideWhenUsed/>
    <w:qFormat/>
    <w:rsid w:val="002D4B1A"/>
    <w:pPr>
      <w:spacing w:before="200"/>
      <w:outlineLvl w:val="1"/>
    </w:pPr>
    <w:rPr>
      <w:rFonts w:asciiTheme="majorHAnsi" w:eastAsiaTheme="majorEastAsia" w:hAnsiTheme="majorHAnsi" w:cstheme="majorBidi"/>
      <w:b/>
      <w:bCs/>
      <w:sz w:val="26"/>
      <w:szCs w:val="26"/>
      <w:lang w:val="en-US" w:eastAsia="en-US" w:bidi="en-US"/>
    </w:rPr>
  </w:style>
  <w:style w:type="paragraph" w:styleId="Cmsor3">
    <w:name w:val="heading 3"/>
    <w:basedOn w:val="Norml"/>
    <w:next w:val="Norml"/>
    <w:link w:val="Cmsor3Char"/>
    <w:uiPriority w:val="9"/>
    <w:unhideWhenUsed/>
    <w:qFormat/>
    <w:rsid w:val="002D4B1A"/>
    <w:pPr>
      <w:spacing w:before="200" w:line="271" w:lineRule="auto"/>
      <w:outlineLvl w:val="2"/>
    </w:pPr>
    <w:rPr>
      <w:rFonts w:asciiTheme="majorHAnsi" w:eastAsiaTheme="majorEastAsia" w:hAnsiTheme="majorHAnsi" w:cstheme="majorBidi"/>
      <w:b/>
      <w:bCs/>
      <w:sz w:val="22"/>
      <w:szCs w:val="22"/>
      <w:lang w:val="en-US" w:eastAsia="en-US" w:bidi="en-US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2D4B1A"/>
    <w:p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sz w:val="22"/>
      <w:szCs w:val="22"/>
      <w:lang w:val="en-US" w:eastAsia="en-US" w:bidi="en-US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2D4B1A"/>
    <w:pPr>
      <w:spacing w:before="200"/>
      <w:outlineLvl w:val="4"/>
    </w:pPr>
    <w:rPr>
      <w:rFonts w:asciiTheme="majorHAnsi" w:eastAsiaTheme="majorEastAsia" w:hAnsiTheme="majorHAnsi" w:cstheme="majorBidi"/>
      <w:b/>
      <w:bCs/>
      <w:color w:val="7F7F7F" w:themeColor="text1" w:themeTint="80"/>
      <w:sz w:val="22"/>
      <w:szCs w:val="22"/>
      <w:lang w:val="en-US" w:eastAsia="en-US" w:bidi="en-US"/>
    </w:rPr>
  </w:style>
  <w:style w:type="paragraph" w:styleId="Cmsor6">
    <w:name w:val="heading 6"/>
    <w:basedOn w:val="Norml"/>
    <w:next w:val="Norml"/>
    <w:link w:val="Cmsor6Char"/>
    <w:uiPriority w:val="9"/>
    <w:unhideWhenUsed/>
    <w:qFormat/>
    <w:rsid w:val="002D4B1A"/>
    <w:pPr>
      <w:spacing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  <w:sz w:val="22"/>
      <w:szCs w:val="22"/>
      <w:lang w:val="en-US" w:eastAsia="en-US" w:bidi="en-US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2D4B1A"/>
    <w:pPr>
      <w:outlineLvl w:val="6"/>
    </w:pPr>
    <w:rPr>
      <w:rFonts w:asciiTheme="majorHAnsi" w:eastAsiaTheme="majorEastAsia" w:hAnsiTheme="majorHAnsi" w:cstheme="majorBidi"/>
      <w:i/>
      <w:iCs/>
      <w:sz w:val="22"/>
      <w:szCs w:val="22"/>
      <w:lang w:val="en-US" w:eastAsia="en-US" w:bidi="en-US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2D4B1A"/>
    <w:pPr>
      <w:outlineLvl w:val="7"/>
    </w:pPr>
    <w:rPr>
      <w:rFonts w:asciiTheme="majorHAnsi" w:eastAsiaTheme="majorEastAsia" w:hAnsiTheme="majorHAnsi" w:cstheme="majorBidi"/>
      <w:sz w:val="20"/>
      <w:szCs w:val="20"/>
      <w:lang w:val="en-US" w:eastAsia="en-US" w:bidi="en-US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2D4B1A"/>
    <w:pPr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  <w:lang w:val="en-US" w:eastAsia="en-US" w:bidi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2D4B1A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Cmsor2Char">
    <w:name w:val="Címsor 2 Char"/>
    <w:basedOn w:val="Bekezdsalapbettpusa"/>
    <w:link w:val="Cmsor2"/>
    <w:uiPriority w:val="9"/>
    <w:rsid w:val="002D4B1A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Cmsor3Char">
    <w:name w:val="Címsor 3 Char"/>
    <w:basedOn w:val="Bekezdsalapbettpusa"/>
    <w:link w:val="Cmsor3"/>
    <w:uiPriority w:val="9"/>
    <w:rsid w:val="002D4B1A"/>
    <w:rPr>
      <w:rFonts w:asciiTheme="majorHAnsi" w:eastAsiaTheme="majorEastAsia" w:hAnsiTheme="majorHAnsi" w:cstheme="majorBidi"/>
      <w:b/>
      <w:bCs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2D4B1A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2D4B1A"/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character" w:customStyle="1" w:styleId="Cmsor6Char">
    <w:name w:val="Címsor 6 Char"/>
    <w:basedOn w:val="Bekezdsalapbettpusa"/>
    <w:link w:val="Cmsor6"/>
    <w:uiPriority w:val="9"/>
    <w:rsid w:val="002D4B1A"/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2D4B1A"/>
    <w:rPr>
      <w:rFonts w:asciiTheme="majorHAnsi" w:eastAsiaTheme="majorEastAsia" w:hAnsiTheme="majorHAnsi" w:cstheme="majorBidi"/>
      <w:i/>
      <w:iCs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2D4B1A"/>
    <w:rPr>
      <w:rFonts w:asciiTheme="majorHAnsi" w:eastAsiaTheme="majorEastAsia" w:hAnsiTheme="majorHAnsi" w:cstheme="majorBidi"/>
      <w:sz w:val="20"/>
      <w:szCs w:val="20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2D4B1A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styleId="Cm">
    <w:name w:val="Title"/>
    <w:basedOn w:val="Norml"/>
    <w:next w:val="Norml"/>
    <w:link w:val="CmChar"/>
    <w:qFormat/>
    <w:rsid w:val="002D4B1A"/>
    <w:pPr>
      <w:pBdr>
        <w:bottom w:val="single" w:sz="4" w:space="1" w:color="auto"/>
      </w:pBdr>
      <w:contextualSpacing/>
    </w:pPr>
    <w:rPr>
      <w:rFonts w:asciiTheme="majorHAnsi" w:eastAsiaTheme="majorEastAsia" w:hAnsiTheme="majorHAnsi" w:cstheme="majorBidi"/>
      <w:spacing w:val="5"/>
      <w:sz w:val="52"/>
      <w:szCs w:val="52"/>
      <w:lang w:val="en-US" w:eastAsia="en-US" w:bidi="en-US"/>
    </w:rPr>
  </w:style>
  <w:style w:type="character" w:customStyle="1" w:styleId="CmChar">
    <w:name w:val="Cím Char"/>
    <w:basedOn w:val="Bekezdsalapbettpusa"/>
    <w:link w:val="Cm"/>
    <w:rsid w:val="002D4B1A"/>
    <w:rPr>
      <w:rFonts w:asciiTheme="majorHAnsi" w:eastAsiaTheme="majorEastAsia" w:hAnsiTheme="majorHAnsi" w:cstheme="majorBidi"/>
      <w:spacing w:val="5"/>
      <w:sz w:val="52"/>
      <w:szCs w:val="52"/>
    </w:rPr>
  </w:style>
  <w:style w:type="paragraph" w:styleId="Alcm">
    <w:name w:val="Subtitle"/>
    <w:basedOn w:val="Norml"/>
    <w:next w:val="Norml"/>
    <w:link w:val="AlcmChar"/>
    <w:uiPriority w:val="11"/>
    <w:qFormat/>
    <w:rsid w:val="002D4B1A"/>
    <w:pPr>
      <w:spacing w:after="600"/>
    </w:pPr>
    <w:rPr>
      <w:rFonts w:asciiTheme="majorHAnsi" w:eastAsiaTheme="majorEastAsia" w:hAnsiTheme="majorHAnsi" w:cstheme="majorBidi"/>
      <w:i/>
      <w:iCs/>
      <w:spacing w:val="13"/>
      <w:lang w:val="en-US" w:eastAsia="en-US" w:bidi="en-US"/>
    </w:rPr>
  </w:style>
  <w:style w:type="character" w:customStyle="1" w:styleId="AlcmChar">
    <w:name w:val="Alcím Char"/>
    <w:basedOn w:val="Bekezdsalapbettpusa"/>
    <w:link w:val="Alcm"/>
    <w:uiPriority w:val="11"/>
    <w:rsid w:val="002D4B1A"/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styleId="Kiemels2">
    <w:name w:val="Strong"/>
    <w:uiPriority w:val="22"/>
    <w:qFormat/>
    <w:rsid w:val="002D4B1A"/>
    <w:rPr>
      <w:b/>
      <w:bCs/>
    </w:rPr>
  </w:style>
  <w:style w:type="character" w:styleId="Kiemels">
    <w:name w:val="Emphasis"/>
    <w:uiPriority w:val="20"/>
    <w:qFormat/>
    <w:rsid w:val="002D4B1A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Nincstrkz">
    <w:name w:val="No Spacing"/>
    <w:basedOn w:val="Norml"/>
    <w:uiPriority w:val="1"/>
    <w:qFormat/>
    <w:rsid w:val="002D4B1A"/>
  </w:style>
  <w:style w:type="paragraph" w:styleId="Listaszerbekezds">
    <w:name w:val="List Paragraph"/>
    <w:basedOn w:val="Norml"/>
    <w:uiPriority w:val="34"/>
    <w:qFormat/>
    <w:rsid w:val="002D4B1A"/>
    <w:pPr>
      <w:ind w:left="720"/>
      <w:contextualSpacing/>
    </w:pPr>
  </w:style>
  <w:style w:type="paragraph" w:styleId="Idzet">
    <w:name w:val="Quote"/>
    <w:basedOn w:val="Norml"/>
    <w:next w:val="Norml"/>
    <w:link w:val="IdzetChar"/>
    <w:uiPriority w:val="29"/>
    <w:qFormat/>
    <w:rsid w:val="002D4B1A"/>
    <w:pPr>
      <w:spacing w:before="200"/>
      <w:ind w:left="360" w:right="360"/>
    </w:pPr>
    <w:rPr>
      <w:rFonts w:asciiTheme="minorHAnsi" w:hAnsiTheme="minorHAnsi"/>
      <w:i/>
      <w:iCs/>
      <w:sz w:val="22"/>
      <w:szCs w:val="22"/>
      <w:lang w:val="en-US" w:eastAsia="en-US" w:bidi="en-US"/>
    </w:rPr>
  </w:style>
  <w:style w:type="character" w:customStyle="1" w:styleId="IdzetChar">
    <w:name w:val="Idézet Char"/>
    <w:basedOn w:val="Bekezdsalapbettpusa"/>
    <w:link w:val="Idzet"/>
    <w:uiPriority w:val="29"/>
    <w:rsid w:val="002D4B1A"/>
    <w:rPr>
      <w:i/>
      <w:iCs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2D4B1A"/>
    <w:pPr>
      <w:pBdr>
        <w:bottom w:val="single" w:sz="4" w:space="1" w:color="auto"/>
      </w:pBdr>
      <w:spacing w:before="200" w:after="280"/>
      <w:ind w:left="1008" w:right="1152"/>
      <w:jc w:val="both"/>
    </w:pPr>
    <w:rPr>
      <w:rFonts w:asciiTheme="minorHAnsi" w:hAnsiTheme="minorHAnsi"/>
      <w:b/>
      <w:bCs/>
      <w:i/>
      <w:iCs/>
      <w:sz w:val="22"/>
      <w:szCs w:val="22"/>
      <w:lang w:val="en-US" w:eastAsia="en-US" w:bidi="en-US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2D4B1A"/>
    <w:rPr>
      <w:b/>
      <w:bCs/>
      <w:i/>
      <w:iCs/>
    </w:rPr>
  </w:style>
  <w:style w:type="character" w:styleId="Finomkiemels">
    <w:name w:val="Subtle Emphasis"/>
    <w:uiPriority w:val="19"/>
    <w:qFormat/>
    <w:rsid w:val="002D4B1A"/>
    <w:rPr>
      <w:i/>
      <w:iCs/>
    </w:rPr>
  </w:style>
  <w:style w:type="character" w:styleId="Ershangslyozs">
    <w:name w:val="Intense Emphasis"/>
    <w:uiPriority w:val="21"/>
    <w:qFormat/>
    <w:rsid w:val="002D4B1A"/>
    <w:rPr>
      <w:b/>
      <w:bCs/>
    </w:rPr>
  </w:style>
  <w:style w:type="character" w:styleId="Finomhivatkozs">
    <w:name w:val="Subtle Reference"/>
    <w:uiPriority w:val="31"/>
    <w:qFormat/>
    <w:rsid w:val="002D4B1A"/>
    <w:rPr>
      <w:smallCaps/>
    </w:rPr>
  </w:style>
  <w:style w:type="character" w:styleId="Ershivatkozs">
    <w:name w:val="Intense Reference"/>
    <w:uiPriority w:val="32"/>
    <w:qFormat/>
    <w:rsid w:val="002D4B1A"/>
    <w:rPr>
      <w:smallCaps/>
      <w:spacing w:val="5"/>
      <w:u w:val="single"/>
    </w:rPr>
  </w:style>
  <w:style w:type="character" w:styleId="Knyvcme">
    <w:name w:val="Book Title"/>
    <w:uiPriority w:val="33"/>
    <w:qFormat/>
    <w:rsid w:val="002D4B1A"/>
    <w:rPr>
      <w:i/>
      <w:iCs/>
      <w:smallCaps/>
      <w:spacing w:val="5"/>
    </w:rPr>
  </w:style>
  <w:style w:type="paragraph" w:styleId="Tartalomjegyzkcmsora">
    <w:name w:val="TOC Heading"/>
    <w:basedOn w:val="Cmsor1"/>
    <w:next w:val="Norml"/>
    <w:uiPriority w:val="39"/>
    <w:semiHidden/>
    <w:unhideWhenUsed/>
    <w:qFormat/>
    <w:rsid w:val="002D4B1A"/>
    <w:pPr>
      <w:outlineLvl w:val="9"/>
    </w:pPr>
    <w:rPr>
      <w:lang w:val="hu-HU" w:eastAsia="hu-HU" w:bidi="ar-SA"/>
    </w:rPr>
  </w:style>
  <w:style w:type="table" w:styleId="Rcsostblzat">
    <w:name w:val="Table Grid"/>
    <w:basedOn w:val="Normltblzat"/>
    <w:uiPriority w:val="59"/>
    <w:rsid w:val="001A5F9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81</Words>
  <Characters>560</Characters>
  <Application>Microsoft Office Word</Application>
  <DocSecurity>0</DocSecurity>
  <Lines>4</Lines>
  <Paragraphs>1</Paragraphs>
  <ScaleCrop>false</ScaleCrop>
  <Company/>
  <LinksUpToDate>false</LinksUpToDate>
  <CharactersWithSpaces>640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Langóné</dc:creator>
  <cp:lastModifiedBy>Langóné</cp:lastModifiedBy>
  <cp:revision>3</cp:revision>
  <dcterms:created xsi:type="dcterms:W3CDTF">2015-11-05T12:40:00Z</dcterms:created>
  <dcterms:modified xsi:type="dcterms:W3CDTF">2015-11-25T12:19:00Z</dcterms:modified>
</cp:coreProperties>
</file>