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FE" w:rsidRPr="005822F2" w:rsidRDefault="006634FE" w:rsidP="006634FE">
      <w:pPr>
        <w:pStyle w:val="CM9"/>
        <w:spacing w:after="240"/>
        <w:jc w:val="center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b/>
          <w:color w:val="000000"/>
        </w:rPr>
        <w:t>23/2015. (XI.26.)</w:t>
      </w:r>
      <w:r w:rsidRPr="005822F2">
        <w:rPr>
          <w:rFonts w:ascii="Times New Roman" w:hAnsi="Times New Roman" w:cs="Times New Roman"/>
          <w:color w:val="000000"/>
        </w:rPr>
        <w:t xml:space="preserve"> önkormányzati rendelet </w:t>
      </w:r>
      <w:r w:rsidRPr="005822F2">
        <w:rPr>
          <w:rFonts w:ascii="Times New Roman" w:hAnsi="Times New Roman" w:cs="Times New Roman"/>
          <w:b/>
          <w:bCs/>
          <w:color w:val="000000"/>
        </w:rPr>
        <w:t>2. melléklete</w:t>
      </w:r>
    </w:p>
    <w:p w:rsidR="006634FE" w:rsidRPr="005822F2" w:rsidRDefault="006634FE" w:rsidP="006634FE">
      <w:pPr>
        <w:pStyle w:val="CM3"/>
        <w:jc w:val="both"/>
        <w:rPr>
          <w:rFonts w:ascii="Times New Roman" w:hAnsi="Times New Roman" w:cs="Times New Roman"/>
          <w:color w:val="000000"/>
        </w:rPr>
      </w:pPr>
    </w:p>
    <w:p w:rsidR="006634FE" w:rsidRPr="005822F2" w:rsidRDefault="006634FE" w:rsidP="006634FE">
      <w:pPr>
        <w:pStyle w:val="CM3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ALÁTÁMASZTÓ MUNKARÉSZEK </w:t>
      </w:r>
    </w:p>
    <w:p w:rsidR="006634FE" w:rsidRPr="005822F2" w:rsidRDefault="006634FE" w:rsidP="006634FE">
      <w:pPr>
        <w:pStyle w:val="Default"/>
        <w:rPr>
          <w:rFonts w:ascii="Times New Roman" w:hAnsi="Times New Roman" w:cs="Times New Roman"/>
        </w:rPr>
      </w:pPr>
    </w:p>
    <w:p w:rsidR="006634FE" w:rsidRPr="005822F2" w:rsidRDefault="006634FE" w:rsidP="006634FE">
      <w:pPr>
        <w:pStyle w:val="CM11"/>
        <w:spacing w:after="0"/>
        <w:ind w:left="360"/>
        <w:jc w:val="both"/>
        <w:rPr>
          <w:rFonts w:ascii="Times New Roman" w:hAnsi="Times New Roman" w:cs="Times New Roman"/>
          <w:i/>
          <w:iCs/>
          <w:color w:val="000000"/>
        </w:rPr>
      </w:pPr>
      <w:r w:rsidRPr="005822F2">
        <w:rPr>
          <w:rFonts w:ascii="Times New Roman" w:hAnsi="Times New Roman" w:cs="Times New Roman"/>
          <w:i/>
          <w:iCs/>
          <w:color w:val="000000"/>
        </w:rPr>
        <w:t xml:space="preserve">A módosítások leírása </w:t>
      </w:r>
    </w:p>
    <w:p w:rsidR="006634FE" w:rsidRPr="005822F2" w:rsidRDefault="006634FE" w:rsidP="006634FE">
      <w:pPr>
        <w:pStyle w:val="Default"/>
        <w:rPr>
          <w:rFonts w:ascii="Times New Roman" w:hAnsi="Times New Roman" w:cs="Times New Roman"/>
        </w:rPr>
      </w:pPr>
    </w:p>
    <w:p w:rsidR="006634FE" w:rsidRPr="005822F2" w:rsidRDefault="006634FE" w:rsidP="006634FE">
      <w:pPr>
        <w:pStyle w:val="CM11"/>
        <w:spacing w:after="12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Velence Város Önkormányzata a Fehér Vártervező Kft. jelen terve alapján a településszerkezeti terv módosítását is érintőhelyi építési szabályzat és szabályozási terv módosítását készíti el az alábbiakra vonatkozóan. 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jelű módosítás: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Rajzi feldolgozásból eredő hiba javítása. A településszerkezeti tervben a tóparti üdülőházas tömb terület-felhasználási kategóriája kertvárosi lakóterületre változik.  </w:t>
      </w:r>
    </w:p>
    <w:p w:rsidR="006634FE" w:rsidRPr="005822F2" w:rsidRDefault="006634FE" w:rsidP="006634FE">
      <w:pPr>
        <w:pStyle w:val="CM11"/>
        <w:spacing w:after="20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2001-ben elfogadott és 2012. nyaráig hatályban levő településszerkezeti terv és szabályozási terv a terület-felhasználást kertvárosias lakóterületként határozta meg. A hatályos terv digitális feldolgozása során történt hiba következtében került üdülőterületbe a tömb, melyre az ingatlantulajdonosok hívták fel az önkormányzat figyelmét a felülvizsgálat elfogadását követően. Jelen módosítással a hiba javítása történik. </w:t>
      </w:r>
    </w:p>
    <w:p w:rsidR="006634FE" w:rsidRPr="005822F2" w:rsidRDefault="006634FE" w:rsidP="006634FE">
      <w:pPr>
        <w:pStyle w:val="CM12"/>
        <w:spacing w:after="12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B, C, D, E jelű módosítások: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Velence Város Képviselőtestülete helyi értékvédelmi rendelet megalkotását határozta el. A helyi rendelet-tervezetet és az önkormányzat által módosított örökségvédelmi hatástanulmányt megküldte a jegyző az örökségvédelemért, a környezetvédelemért, természetvédelemért és a tájvédelemért felelős államigazgatási szerveknek.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településszerkezeti tervet és a szabályozási tervet a helyi értékvédelmi rendeletben foglaltaknak megfelelően javítani szükséges a helyi rendeletek összhangjának megteremtése érdekében. </w:t>
      </w:r>
    </w:p>
    <w:p w:rsidR="006634FE" w:rsidRPr="005822F2" w:rsidRDefault="006634FE" w:rsidP="006634FE">
      <w:pPr>
        <w:pStyle w:val="CM10"/>
        <w:spacing w:after="12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Az örökségvédelemért felelős államigazgatási szerv véleménye alapján a helyi értékvédelmi rendeletet (így a településrendezési tervet is) ki kell egészíteni az alábbi egyedileg védett műemlékek felsorolásával és azok rajzi ábrázolásával </w:t>
      </w:r>
    </w:p>
    <w:p w:rsidR="006634FE" w:rsidRPr="005822F2" w:rsidRDefault="006634FE" w:rsidP="006634FE">
      <w:pPr>
        <w:pStyle w:val="Default"/>
        <w:jc w:val="center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noProof/>
        </w:rPr>
        <w:drawing>
          <wp:inline distT="0" distB="0" distL="0" distR="0">
            <wp:extent cx="5762625" cy="129540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FE" w:rsidRPr="005822F2" w:rsidRDefault="006634FE" w:rsidP="006634FE">
      <w:pPr>
        <w:pStyle w:val="CM7"/>
        <w:spacing w:line="240" w:lineRule="auto"/>
        <w:rPr>
          <w:rFonts w:ascii="Times New Roman" w:hAnsi="Times New Roman" w:cs="Times New Roman"/>
          <w:color w:val="000000"/>
        </w:rPr>
      </w:pPr>
    </w:p>
    <w:p w:rsidR="006634FE" w:rsidRPr="005822F2" w:rsidRDefault="006634FE" w:rsidP="006634FE">
      <w:pPr>
        <w:pStyle w:val="CM7"/>
        <w:spacing w:line="240" w:lineRule="auto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Fentiek értelmében a tervlapokon az alábbi változtatások szükségesek: </w:t>
      </w:r>
    </w:p>
    <w:p w:rsidR="006634FE" w:rsidRPr="005822F2" w:rsidRDefault="006634FE" w:rsidP="006634FE">
      <w:pPr>
        <w:pStyle w:val="CM7"/>
        <w:ind w:left="567"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>B jelű módosítás:</w:t>
      </w:r>
    </w:p>
    <w:p w:rsidR="006634FE" w:rsidRPr="005822F2" w:rsidRDefault="006634FE" w:rsidP="006634FE">
      <w:pPr>
        <w:pStyle w:val="CM7"/>
        <w:spacing w:before="120" w:line="240" w:lineRule="auto"/>
        <w:ind w:left="567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</w:t>
      </w:r>
      <w:proofErr w:type="spellStart"/>
      <w:r w:rsidRPr="005822F2">
        <w:rPr>
          <w:rFonts w:ascii="Times New Roman" w:hAnsi="Times New Roman" w:cs="Times New Roman"/>
        </w:rPr>
        <w:t>Hauszmann-Gschwindt-kastély</w:t>
      </w:r>
      <w:proofErr w:type="spellEnd"/>
      <w:r w:rsidRPr="005822F2">
        <w:rPr>
          <w:rFonts w:ascii="Times New Roman" w:hAnsi="Times New Roman" w:cs="Times New Roman"/>
        </w:rPr>
        <w:t xml:space="preserve"> és a kastély melléképületeinek ábrázolása műemlékként.</w:t>
      </w:r>
    </w:p>
    <w:p w:rsidR="006634FE" w:rsidRPr="005822F2" w:rsidRDefault="006634FE" w:rsidP="006634FE">
      <w:pPr>
        <w:pStyle w:val="Default"/>
        <w:ind w:firstLine="567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br w:type="page"/>
      </w:r>
      <w:r w:rsidRPr="005822F2">
        <w:rPr>
          <w:rFonts w:ascii="Times New Roman" w:hAnsi="Times New Roman" w:cs="Times New Roman"/>
        </w:rPr>
        <w:lastRenderedPageBreak/>
        <w:t>C jelű módosítás:</w:t>
      </w:r>
    </w:p>
    <w:p w:rsidR="006634FE" w:rsidRPr="005822F2" w:rsidRDefault="006634FE" w:rsidP="006634FE">
      <w:pPr>
        <w:pStyle w:val="CM7"/>
        <w:spacing w:before="120" w:line="240" w:lineRule="auto"/>
        <w:ind w:left="567"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>A Beck kastély park műemléki védettségének feltüntetése</w:t>
      </w:r>
    </w:p>
    <w:p w:rsidR="006634FE" w:rsidRPr="005822F2" w:rsidRDefault="006634FE" w:rsidP="006634FE">
      <w:pPr>
        <w:pStyle w:val="CM7"/>
        <w:spacing w:before="24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>D jelű módosítás:</w:t>
      </w:r>
    </w:p>
    <w:p w:rsidR="006634FE" w:rsidRPr="005822F2" w:rsidRDefault="006634FE" w:rsidP="006634FE">
      <w:pPr>
        <w:pStyle w:val="CM7"/>
        <w:spacing w:before="12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Katolikus és református temető területének helyi értékvédelmi területként jelölése (gesztenyefák) </w:t>
      </w:r>
    </w:p>
    <w:p w:rsidR="006634FE" w:rsidRPr="005822F2" w:rsidRDefault="006634FE" w:rsidP="006634FE">
      <w:pPr>
        <w:pStyle w:val="CM7"/>
        <w:spacing w:before="24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>E jelű módosítás</w:t>
      </w:r>
    </w:p>
    <w:p w:rsidR="006634FE" w:rsidRPr="005822F2" w:rsidRDefault="006634FE" w:rsidP="006634FE">
      <w:pPr>
        <w:pStyle w:val="CM7"/>
        <w:spacing w:before="12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>Gesztenyesor utca védett fasor feltüntetése a terven helyi értékvédelmi területként.</w:t>
      </w:r>
    </w:p>
    <w:p w:rsidR="006634FE" w:rsidRPr="005822F2" w:rsidRDefault="006634FE" w:rsidP="006634FE">
      <w:pPr>
        <w:pStyle w:val="CM12"/>
        <w:spacing w:after="0"/>
        <w:jc w:val="both"/>
        <w:rPr>
          <w:rFonts w:ascii="Times New Roman" w:hAnsi="Times New Roman" w:cs="Times New Roman"/>
          <w:color w:val="000000"/>
        </w:rPr>
      </w:pPr>
    </w:p>
    <w:p w:rsidR="006634FE" w:rsidRPr="005822F2" w:rsidRDefault="006634FE" w:rsidP="006634FE">
      <w:pPr>
        <w:pStyle w:val="CM12"/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F jelű módosítás: </w:t>
      </w:r>
    </w:p>
    <w:p w:rsidR="006634FE" w:rsidRPr="005822F2" w:rsidRDefault="006634FE" w:rsidP="006634FE">
      <w:pPr>
        <w:pStyle w:val="CM13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Kápolnásnyék felé vezetőút mellett, É-D-i irányban húzódó </w:t>
      </w:r>
      <w:proofErr w:type="spellStart"/>
      <w:r w:rsidRPr="005822F2">
        <w:rPr>
          <w:rFonts w:ascii="Times New Roman" w:hAnsi="Times New Roman" w:cs="Times New Roman"/>
          <w:color w:val="000000"/>
        </w:rPr>
        <w:t>Gurjal-völgy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a vízjárta területek klasszikus példája a zsombékos-sásos patakvölggyel, a kisebb fűz-és nyárfoltokkal és a völgy közepén kanyargó kis patakkal. A terület értékét növeli a környék rendezett, kistáblás mezőgazdasági területeinek, valamint a környezőerdőknek megnyugtató látványa. </w:t>
      </w:r>
    </w:p>
    <w:p w:rsidR="006634FE" w:rsidRPr="005822F2" w:rsidRDefault="006634FE" w:rsidP="006634FE">
      <w:pPr>
        <w:pStyle w:val="CM13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védett területen belül van az évek óta felhagyott szilárdhulladék gyűjtőtelep, melynek rekultivációja megtörtént. Helyén komposztáló telep létesült, a település zöldhulladékának hasznosítására. A </w:t>
      </w:r>
      <w:proofErr w:type="spellStart"/>
      <w:r w:rsidRPr="005822F2">
        <w:rPr>
          <w:rFonts w:ascii="Times New Roman" w:hAnsi="Times New Roman" w:cs="Times New Roman"/>
          <w:color w:val="000000"/>
        </w:rPr>
        <w:t>Gurjal-völgy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komposztáló teleptől dél-keletre eső szakaszán a tulajdonos a meglevő mezőgazdasági hasznosítású területen levő épületek felújítását, újjáépítését tervezi, melyet a jelenlegi véderdő övezeti besorolás nem tesz lehetővé.</w:t>
      </w:r>
    </w:p>
    <w:p w:rsidR="006634FE" w:rsidRPr="005822F2" w:rsidRDefault="006634FE" w:rsidP="006634FE">
      <w:pPr>
        <w:pStyle w:val="CM1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5822F2">
        <w:rPr>
          <w:rFonts w:ascii="Times New Roman" w:hAnsi="Times New Roman" w:cs="Times New Roman"/>
          <w:color w:val="000000"/>
        </w:rPr>
        <w:t>Gurjal-völgy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területe része az országos ökológiai hálózatnak, Fejér Megye Területendezési Terve (</w:t>
      </w:r>
      <w:proofErr w:type="spellStart"/>
      <w:r w:rsidRPr="005822F2">
        <w:rPr>
          <w:rFonts w:ascii="Times New Roman" w:hAnsi="Times New Roman" w:cs="Times New Roman"/>
          <w:color w:val="000000"/>
        </w:rPr>
        <w:t>FmTrT</w:t>
      </w:r>
      <w:proofErr w:type="spellEnd"/>
      <w:r w:rsidRPr="005822F2">
        <w:rPr>
          <w:rFonts w:ascii="Times New Roman" w:hAnsi="Times New Roman" w:cs="Times New Roman"/>
          <w:color w:val="000000"/>
        </w:rPr>
        <w:t>) ökológiai folyosóként cizellálja. A tervezési terület az ökológiai folyosó területétől dél-keletre esik, annak nem része.</w:t>
      </w:r>
    </w:p>
    <w:p w:rsidR="006634FE" w:rsidRPr="005822F2" w:rsidRDefault="006634FE" w:rsidP="006634FE">
      <w:pPr>
        <w:pStyle w:val="Default"/>
        <w:spacing w:after="340"/>
        <w:ind w:right="-1367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noProof/>
        </w:rPr>
        <w:drawing>
          <wp:inline distT="0" distB="0" distL="0" distR="0">
            <wp:extent cx="1809750" cy="3219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2F2">
        <w:rPr>
          <w:rFonts w:ascii="Times New Roman" w:hAnsi="Times New Roman" w:cs="Times New Roman"/>
        </w:rPr>
        <w:t xml:space="preserve"> </w:t>
      </w:r>
      <w:proofErr w:type="gramStart"/>
      <w:r w:rsidRPr="005822F2">
        <w:rPr>
          <w:rFonts w:ascii="Times New Roman" w:hAnsi="Times New Roman" w:cs="Times New Roman"/>
          <w:sz w:val="22"/>
          <w:szCs w:val="22"/>
        </w:rPr>
        <w:t>erdőként</w:t>
      </w:r>
      <w:proofErr w:type="gramEnd"/>
      <w:r w:rsidRPr="005822F2">
        <w:rPr>
          <w:rFonts w:ascii="Times New Roman" w:hAnsi="Times New Roman" w:cs="Times New Roman"/>
          <w:sz w:val="22"/>
          <w:szCs w:val="22"/>
        </w:rPr>
        <w:t xml:space="preserve"> nyilvántartott és üzemtervezett erdők (forrás:erdoterkep.mgszh.gov.hu)</w:t>
      </w:r>
      <w:r w:rsidRPr="005822F2">
        <w:rPr>
          <w:rFonts w:ascii="Times New Roman" w:hAnsi="Times New Roman" w:cs="Times New Roman"/>
        </w:rPr>
        <w:t xml:space="preserve"> </w:t>
      </w:r>
    </w:p>
    <w:p w:rsidR="006634FE" w:rsidRPr="005822F2" w:rsidRDefault="006634FE" w:rsidP="006634FE">
      <w:pPr>
        <w:pStyle w:val="Default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br w:type="page"/>
      </w:r>
      <w:r w:rsidRPr="005822F2">
        <w:rPr>
          <w:rFonts w:ascii="Times New Roman" w:hAnsi="Times New Roman" w:cs="Times New Roman"/>
        </w:rPr>
        <w:lastRenderedPageBreak/>
        <w:t xml:space="preserve">A hatályos településrendezési eszközökben szereplő erdő terület-felhasználás az erdészeti nyilvántartás szerint sem indokolt. </w:t>
      </w:r>
    </w:p>
    <w:p w:rsidR="006634FE" w:rsidRPr="005822F2" w:rsidRDefault="006634FE" w:rsidP="006634FE">
      <w:pPr>
        <w:pStyle w:val="CM8"/>
        <w:spacing w:after="200" w:line="240" w:lineRule="auto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Fentiek alapján a terület mezőgazdasági terület-felhasználása, általános mezőgazdasági övezetbe történő átsorolása lehetséges, magasabb rendű jogszabályok azt nem tiltják.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G jelű módosítás: </w:t>
      </w:r>
    </w:p>
    <w:p w:rsidR="006634FE" w:rsidRPr="005822F2" w:rsidRDefault="006634FE" w:rsidP="006634FE">
      <w:pPr>
        <w:pStyle w:val="CM10"/>
        <w:spacing w:after="20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Hibajavítás. A terv utolsó felülvizsgálata során nem lett figyelembe véve a Velence Város Képviselő-testületének 15/2008.(V.28.) sz. rendelete a többször módosított 16/2001.(VI.25.) sz. önk. rendelettel elfogadott Helyi Építési Szabályzat módosításáról, a Juventus hotel tulajdonos kéri a 4510/31 </w:t>
      </w:r>
      <w:proofErr w:type="spellStart"/>
      <w:r w:rsidRPr="005822F2">
        <w:rPr>
          <w:rFonts w:ascii="Times New Roman" w:hAnsi="Times New Roman" w:cs="Times New Roman"/>
          <w:color w:val="000000"/>
        </w:rPr>
        <w:t>hrsz-ú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ingatlanra vonatkozóan az eredeti állapot helyreállítást. Miután a felülvizsgálat során a településen az egyes építési övezetek elnevezése és számozása is változott, a módosítás kapcsán új övezet kerül meghatározásra az eredeti rendelet szerinti övezeti mutatókkal. Üü-1 övezet helyett Üü-5 jelű építési övezetbe soroltuk át a területet, a 2008-as építési előírásoknak megfelelő tartalommal. A dél-keleti telekhatáron pótlásra kerül a hiányzó övezethatár. </w:t>
      </w:r>
    </w:p>
    <w:p w:rsidR="006634FE" w:rsidRPr="005822F2" w:rsidRDefault="006634FE" w:rsidP="006634FE">
      <w:pPr>
        <w:pStyle w:val="CM10"/>
        <w:spacing w:after="20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H jelű módosítás: </w:t>
      </w:r>
    </w:p>
    <w:p w:rsidR="006634FE" w:rsidRPr="005822F2" w:rsidRDefault="006634FE" w:rsidP="006634FE">
      <w:pPr>
        <w:pStyle w:val="CM9"/>
        <w:spacing w:after="20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Hibajavítás. A hatályos HÉSZ és a szabályozási terv összhangba kerül a módosítás során az Lke-4 építési övezetre vonatkozóan. A kialakult állapotnak és a szabályozási tervnek megfelelően az Lke-4 építési övezetek tekintetében a HÉSZ előírásaiban a beépítési százalék 20%-ról 30%-ra változik. A szabályozási terven ábrázolt 4 db Lke-4 jelű övezet közül 1 db (a jóváhagyandó munkarészek között szerepeltetett </w:t>
      </w:r>
      <w:proofErr w:type="spellStart"/>
      <w:r w:rsidRPr="005822F2">
        <w:rPr>
          <w:rFonts w:ascii="Times New Roman" w:hAnsi="Times New Roman" w:cs="Times New Roman"/>
          <w:color w:val="000000"/>
        </w:rPr>
        <w:t>kivágaton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látható) építési övezet változik, a többi Lke-4 építész övezet mutatói változatlanul maradnak a módosítás kapcsán a szabályozási tervben. </w:t>
      </w:r>
    </w:p>
    <w:p w:rsidR="006634FE" w:rsidRPr="005822F2" w:rsidRDefault="006634FE" w:rsidP="006634FE">
      <w:pPr>
        <w:pStyle w:val="CM9"/>
        <w:spacing w:after="20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I jelű módosítás: </w:t>
      </w:r>
    </w:p>
    <w:p w:rsidR="006634FE" w:rsidRPr="005822F2" w:rsidRDefault="006634FE" w:rsidP="006634FE">
      <w:pPr>
        <w:pStyle w:val="CM9"/>
        <w:spacing w:after="20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Hibajavítás. A módosítás kapcsán a szabályozási tervben a kilátó (K-ki) építési övezeti jelében szereplő maximális építménymagasság értéke a HÉSZ K-ki övezetre vonatkozó előírásaival összhangban 6,0 m-re változik.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J jelű módosítás: </w:t>
      </w:r>
    </w:p>
    <w:p w:rsidR="006634FE" w:rsidRPr="005822F2" w:rsidRDefault="006634FE" w:rsidP="006634FE">
      <w:pPr>
        <w:pStyle w:val="CM12"/>
        <w:spacing w:after="0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>A településközponti vegyes területeken a hatályos terv minden építési övezetben lehetővé teszi üzemanyagtöltő és parkolóház építését. A felülvizsgálat előtti helyi építési szabályzat a Velencei-tó partján levő településközponti vegyes terület-felhasználás esetén ezt nem tette lehetővé. Az önkormányzat szeretné ismét korlátozni e tekintetben a tóparti, turisztikai szempontból frekventált helyeket. Ennek megfelelően a szabályozási terven *</w:t>
      </w:r>
      <w:proofErr w:type="spellStart"/>
      <w:r w:rsidRPr="005822F2">
        <w:rPr>
          <w:rFonts w:ascii="Times New Roman" w:hAnsi="Times New Roman" w:cs="Times New Roman"/>
          <w:color w:val="000000"/>
        </w:rPr>
        <w:t>-al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jelölt építési övezetekben nem építhető üzemanyagtöltő és parkolóház, míg a **</w:t>
      </w:r>
      <w:proofErr w:type="spellStart"/>
      <w:r w:rsidRPr="005822F2">
        <w:rPr>
          <w:rFonts w:ascii="Times New Roman" w:hAnsi="Times New Roman" w:cs="Times New Roman"/>
          <w:color w:val="000000"/>
        </w:rPr>
        <w:t>-al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jelölt építési övezetben üzemanyagtöltő nem építhető.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Ennek megfelelően a HÉSZ is módosul.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K jelű módosítás: </w:t>
      </w:r>
    </w:p>
    <w:p w:rsidR="006634FE" w:rsidRPr="005822F2" w:rsidRDefault="006634FE" w:rsidP="006634FE">
      <w:pPr>
        <w:pStyle w:val="CM12"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 4509/2 </w:t>
      </w:r>
      <w:proofErr w:type="spellStart"/>
      <w:r w:rsidRPr="005822F2">
        <w:rPr>
          <w:rFonts w:ascii="Times New Roman" w:hAnsi="Times New Roman" w:cs="Times New Roman"/>
          <w:color w:val="000000"/>
        </w:rPr>
        <w:t>hrsz-ú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ingatlanra vonatkozóan a SZ-2/ M1 jelű szabályozási tervlapon – egy korábban kiadott építési engedély miatt – egyedi építési </w:t>
      </w:r>
      <w:proofErr w:type="gramStart"/>
      <w:r w:rsidRPr="005822F2">
        <w:rPr>
          <w:rFonts w:ascii="Times New Roman" w:hAnsi="Times New Roman" w:cs="Times New Roman"/>
          <w:color w:val="000000"/>
        </w:rPr>
        <w:t>hely kijelölést</w:t>
      </w:r>
      <w:proofErr w:type="gramEnd"/>
      <w:r w:rsidRPr="005822F2">
        <w:rPr>
          <w:rFonts w:ascii="Times New Roman" w:hAnsi="Times New Roman" w:cs="Times New Roman"/>
          <w:color w:val="000000"/>
        </w:rPr>
        <w:t xml:space="preserve"> tartalmaz a szabályozási terv. Miután az ingatlant érintően tulajdonos váltás történt, az új tulajdonos hasznosítási szándéka eltér az engedéllyel rendelkező tevékenységtől, ezért az építési hely törlését kérte. Az önkormányzat képviselő-testülete egyetértett az építési hely törlésével.</w:t>
      </w:r>
    </w:p>
    <w:p w:rsidR="006634FE" w:rsidRPr="005822F2" w:rsidRDefault="006634FE" w:rsidP="006634FE">
      <w:pPr>
        <w:pStyle w:val="Default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br w:type="page"/>
      </w:r>
      <w:r w:rsidRPr="005822F2">
        <w:rPr>
          <w:rFonts w:ascii="Times New Roman" w:hAnsi="Times New Roman" w:cs="Times New Roman"/>
        </w:rPr>
        <w:lastRenderedPageBreak/>
        <w:t xml:space="preserve">A 4509/1 </w:t>
      </w:r>
      <w:proofErr w:type="spellStart"/>
      <w:r w:rsidRPr="005822F2">
        <w:rPr>
          <w:rFonts w:ascii="Times New Roman" w:hAnsi="Times New Roman" w:cs="Times New Roman"/>
        </w:rPr>
        <w:t>hrsz-ú</w:t>
      </w:r>
      <w:proofErr w:type="spellEnd"/>
      <w:r w:rsidRPr="005822F2">
        <w:rPr>
          <w:rFonts w:ascii="Times New Roman" w:hAnsi="Times New Roman" w:cs="Times New Roman"/>
        </w:rPr>
        <w:t xml:space="preserve"> önkormányzati tulajdonú területet jelenleg is közlekedési területként használják, azonban a hatályos terven településközponti vegyes építési övezet részeként szerepelt. A terület közterületté nyilvánítása jelenleg folyamatban van, ennek megfelelő a módosítás közlekedési területként.</w:t>
      </w:r>
    </w:p>
    <w:p w:rsidR="006634FE" w:rsidRPr="005822F2" w:rsidRDefault="006634FE" w:rsidP="006634FE">
      <w:pPr>
        <w:pStyle w:val="CM12"/>
        <w:contextualSpacing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L jelű módosítás: </w:t>
      </w:r>
    </w:p>
    <w:p w:rsidR="006634FE" w:rsidRPr="005822F2" w:rsidRDefault="006634FE" w:rsidP="006634FE">
      <w:pPr>
        <w:pStyle w:val="CM11"/>
        <w:spacing w:after="120"/>
        <w:contextualSpacing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Hibajavítás. A hatályos HÉSZ és szabályozási terv nem azonos beépítési feltételeket tartalmaznak a </w:t>
      </w:r>
      <w:proofErr w:type="spellStart"/>
      <w:r w:rsidRPr="005822F2">
        <w:rPr>
          <w:rFonts w:ascii="Times New Roman" w:hAnsi="Times New Roman" w:cs="Times New Roman"/>
          <w:color w:val="000000"/>
        </w:rPr>
        <w:t>fedvényterven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jelölt összhangba kerül a módosítás során. A kialakult állapotnak és a szabályozási tervnek megfelelően az Lke-3 építési övezetek tekintetében a HÉSZ előírásaiban a beépítési mód oldalhatáron álló beépítésről szabadon-álló beépítési módra változik. A szabályozási terv a módosítás során nem változik. </w:t>
      </w:r>
    </w:p>
    <w:p w:rsidR="006634FE" w:rsidRPr="005822F2" w:rsidRDefault="006634FE" w:rsidP="006634FE">
      <w:pPr>
        <w:pStyle w:val="CM11"/>
        <w:spacing w:after="120"/>
        <w:contextualSpacing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>M jelű módosítás</w:t>
      </w:r>
    </w:p>
    <w:p w:rsidR="006634FE" w:rsidRPr="005822F2" w:rsidRDefault="006634FE" w:rsidP="006634FE">
      <w:pPr>
        <w:pStyle w:val="CM11"/>
        <w:spacing w:after="120"/>
        <w:contextualSpacing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  <w:color w:val="000000"/>
        </w:rPr>
        <w:t xml:space="preserve">Az önkormányzat döntése értelmében a 690-686/2 </w:t>
      </w:r>
      <w:proofErr w:type="spellStart"/>
      <w:r w:rsidRPr="005822F2">
        <w:rPr>
          <w:rFonts w:ascii="Times New Roman" w:hAnsi="Times New Roman" w:cs="Times New Roman"/>
          <w:color w:val="000000"/>
        </w:rPr>
        <w:t>hrsz-ú</w:t>
      </w:r>
      <w:proofErr w:type="spellEnd"/>
      <w:r w:rsidRPr="005822F2">
        <w:rPr>
          <w:rFonts w:ascii="Times New Roman" w:hAnsi="Times New Roman" w:cs="Times New Roman"/>
          <w:color w:val="000000"/>
        </w:rPr>
        <w:t xml:space="preserve"> ingatlanokat magába foglaló kertvárosias lakótömbben a kialakítható legkisebb telekterületet 550 m2-ben kell meghatározni. Ennek érdekében a tömbre vonatkozóan az Lke-18 jelű építési övezet helyett új, Lke-21 jelű építési övezet kerül meghatározásra. Az övezetben a megengedett legnagyobb beépíthetőség 30 %, az elhelyezhető építmények építménymagassága 6,0 m marad. Kizárólag a kialakítható telek területe csökken, miután a tömb északi oldalán már korábban kialakultak ilyen méretű ingatlanok.</w:t>
      </w:r>
    </w:p>
    <w:p w:rsidR="006634FE" w:rsidRPr="005822F2" w:rsidRDefault="006634FE" w:rsidP="006634FE">
      <w:pPr>
        <w:pStyle w:val="CM14"/>
        <w:spacing w:after="120"/>
        <w:contextualSpacing/>
        <w:jc w:val="both"/>
        <w:rPr>
          <w:rFonts w:ascii="Times New Roman" w:hAnsi="Times New Roman" w:cs="Times New Roman"/>
          <w:i/>
          <w:iCs/>
        </w:rPr>
      </w:pPr>
    </w:p>
    <w:p w:rsidR="006634FE" w:rsidRPr="005822F2" w:rsidRDefault="006634FE" w:rsidP="006634FE">
      <w:pPr>
        <w:pStyle w:val="CM14"/>
        <w:spacing w:after="10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i/>
          <w:iCs/>
        </w:rPr>
        <w:t xml:space="preserve">Tervi előzmények </w:t>
      </w:r>
    </w:p>
    <w:p w:rsidR="006634FE" w:rsidRPr="005822F2" w:rsidRDefault="006634FE" w:rsidP="006634FE">
      <w:pPr>
        <w:pStyle w:val="CM6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képviselőtestület </w:t>
      </w:r>
      <w:r w:rsidRPr="005822F2">
        <w:rPr>
          <w:rFonts w:ascii="Times New Roman" w:hAnsi="Times New Roman" w:cs="Times New Roman"/>
          <w:b/>
          <w:bCs/>
        </w:rPr>
        <w:t xml:space="preserve">156/2012. (VI.18.) </w:t>
      </w:r>
      <w:r w:rsidRPr="005822F2">
        <w:rPr>
          <w:rFonts w:ascii="Times New Roman" w:hAnsi="Times New Roman" w:cs="Times New Roman"/>
        </w:rPr>
        <w:t xml:space="preserve">számú határozatával fogadta el a településszerkezeti tervet, és </w:t>
      </w:r>
      <w:r w:rsidRPr="005822F2">
        <w:rPr>
          <w:rFonts w:ascii="Times New Roman" w:hAnsi="Times New Roman" w:cs="Times New Roman"/>
          <w:b/>
          <w:bCs/>
        </w:rPr>
        <w:t xml:space="preserve">19/2012.(VI.19.) </w:t>
      </w:r>
      <w:r w:rsidRPr="005822F2">
        <w:rPr>
          <w:rFonts w:ascii="Times New Roman" w:hAnsi="Times New Roman" w:cs="Times New Roman"/>
        </w:rPr>
        <w:t xml:space="preserve">számú rendelettel fogadta el a helyi építési szabályzatot. </w:t>
      </w:r>
    </w:p>
    <w:p w:rsidR="006634FE" w:rsidRPr="005822F2" w:rsidRDefault="006634FE" w:rsidP="006634FE">
      <w:pPr>
        <w:pStyle w:val="CM11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rendelet mellékletét képező SZT-1 és SZT-2 jelű szabályozási tervet szükséges módosítani. Az önkormányzat </w:t>
      </w:r>
      <w:proofErr w:type="spellStart"/>
      <w:r w:rsidRPr="005822F2">
        <w:rPr>
          <w:rFonts w:ascii="Times New Roman" w:hAnsi="Times New Roman" w:cs="Times New Roman"/>
        </w:rPr>
        <w:t>fedvényterv</w:t>
      </w:r>
      <w:proofErr w:type="spellEnd"/>
      <w:r w:rsidRPr="005822F2">
        <w:rPr>
          <w:rFonts w:ascii="Times New Roman" w:hAnsi="Times New Roman" w:cs="Times New Roman"/>
        </w:rPr>
        <w:t xml:space="preserve"> készítésével, határozat-, és rendeletmódosítással változtat a hatályos településrendezési eszközökön. </w:t>
      </w:r>
    </w:p>
    <w:p w:rsidR="006634FE" w:rsidRPr="005822F2" w:rsidRDefault="006634FE" w:rsidP="006634FE">
      <w:pPr>
        <w:pStyle w:val="CM14"/>
        <w:spacing w:after="120"/>
        <w:contextualSpacing/>
        <w:jc w:val="both"/>
        <w:rPr>
          <w:rFonts w:ascii="Times New Roman" w:hAnsi="Times New Roman" w:cs="Times New Roman"/>
          <w:color w:val="000000"/>
        </w:rPr>
      </w:pPr>
      <w:r w:rsidRPr="005822F2">
        <w:rPr>
          <w:rFonts w:ascii="Times New Roman" w:hAnsi="Times New Roman" w:cs="Times New Roman"/>
        </w:rPr>
        <w:t xml:space="preserve">Az egyéb alátámasztó munkarészek csak az eltelt időszakra és a terv által megkövetelt </w:t>
      </w:r>
      <w:r w:rsidRPr="005822F2">
        <w:rPr>
          <w:rFonts w:ascii="Times New Roman" w:hAnsi="Times New Roman" w:cs="Times New Roman"/>
          <w:color w:val="000000"/>
        </w:rPr>
        <w:t xml:space="preserve">részletességre figyelemmel készülnek. </w:t>
      </w:r>
    </w:p>
    <w:p w:rsidR="006634FE" w:rsidRPr="005822F2" w:rsidRDefault="006634FE" w:rsidP="006634FE">
      <w:pPr>
        <w:pStyle w:val="Default"/>
        <w:contextualSpacing/>
        <w:rPr>
          <w:rFonts w:ascii="Times New Roman" w:hAnsi="Times New Roman" w:cs="Times New Roman"/>
          <w:color w:val="auto"/>
        </w:rPr>
      </w:pPr>
    </w:p>
    <w:p w:rsidR="006634FE" w:rsidRPr="005822F2" w:rsidRDefault="006634FE" w:rsidP="006634FE">
      <w:pPr>
        <w:pStyle w:val="CM15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i/>
          <w:iCs/>
        </w:rPr>
        <w:t xml:space="preserve">Tájrendezés: </w:t>
      </w:r>
    </w:p>
    <w:p w:rsidR="006634FE" w:rsidRPr="005822F2" w:rsidRDefault="006634FE" w:rsidP="006634FE">
      <w:pPr>
        <w:pStyle w:val="CM12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tájrendezés tekintetében a tervezett módosítások nem jelentenek változtatást, mivel azok a beépítésre szánt területet érintik, a tájképet és a településképet jelentősen megváltoztató hatással nem járnak. </w:t>
      </w:r>
    </w:p>
    <w:p w:rsidR="006634FE" w:rsidRPr="005822F2" w:rsidRDefault="006634FE" w:rsidP="006634FE">
      <w:pPr>
        <w:pStyle w:val="CM12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>A F jelű módosítás a jelenlegi tájhasználatnak megfelelő övezeti besorolást tartalmazza, a hatályos terv szerinti véderdő létesítése a területen nem indokolt.</w:t>
      </w:r>
    </w:p>
    <w:p w:rsidR="006634FE" w:rsidRPr="005822F2" w:rsidRDefault="006634FE" w:rsidP="006634FE">
      <w:pPr>
        <w:pStyle w:val="Default"/>
        <w:contextualSpacing/>
        <w:rPr>
          <w:rFonts w:ascii="Times New Roman" w:hAnsi="Times New Roman" w:cs="Times New Roman"/>
          <w:color w:val="auto"/>
        </w:rPr>
      </w:pPr>
    </w:p>
    <w:p w:rsidR="006634FE" w:rsidRPr="005822F2" w:rsidRDefault="006634FE" w:rsidP="006634FE">
      <w:pPr>
        <w:pStyle w:val="CM15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i/>
          <w:iCs/>
        </w:rPr>
        <w:t xml:space="preserve">Közlekedés: </w:t>
      </w:r>
    </w:p>
    <w:p w:rsidR="006634FE" w:rsidRPr="005822F2" w:rsidRDefault="006634FE" w:rsidP="006634FE">
      <w:pPr>
        <w:pStyle w:val="CM12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tervezett változtatások a település közlekedési rendszerében változás nem jelentenek, a 2012. évben elfogadott terv közlekedési alátámasztó munkarészei kiegészítése nem szükséges. </w:t>
      </w:r>
    </w:p>
    <w:p w:rsidR="006634FE" w:rsidRPr="005822F2" w:rsidRDefault="006634FE" w:rsidP="006634FE">
      <w:pPr>
        <w:pStyle w:val="Default"/>
        <w:spacing w:after="120"/>
        <w:contextualSpacing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br w:type="page"/>
      </w:r>
      <w:r w:rsidRPr="005822F2">
        <w:rPr>
          <w:rFonts w:ascii="Times New Roman" w:hAnsi="Times New Roman" w:cs="Times New Roman"/>
          <w:i/>
          <w:iCs/>
        </w:rPr>
        <w:lastRenderedPageBreak/>
        <w:t xml:space="preserve">Környezetvédelem: </w:t>
      </w:r>
    </w:p>
    <w:p w:rsidR="006634FE" w:rsidRPr="005822F2" w:rsidRDefault="006634FE" w:rsidP="006634FE">
      <w:pPr>
        <w:pStyle w:val="CM12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>A tervezett változtatások környezetvédelmi hatása nincs, ezért a 2012. évben elfogadott terv környezetvédelmi alátámasztó munkarészének kiegészítése nem szükséges.</w:t>
      </w:r>
    </w:p>
    <w:p w:rsidR="006634FE" w:rsidRPr="005822F2" w:rsidRDefault="006634FE" w:rsidP="006634FE">
      <w:pPr>
        <w:pStyle w:val="Default"/>
        <w:contextualSpacing/>
        <w:rPr>
          <w:rFonts w:ascii="Times New Roman" w:hAnsi="Times New Roman" w:cs="Times New Roman"/>
          <w:color w:val="auto"/>
        </w:rPr>
      </w:pPr>
    </w:p>
    <w:p w:rsidR="006634FE" w:rsidRPr="005822F2" w:rsidRDefault="006634FE" w:rsidP="006634FE">
      <w:pPr>
        <w:pStyle w:val="CM15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i/>
          <w:iCs/>
        </w:rPr>
        <w:t xml:space="preserve">Közművesítés: </w:t>
      </w:r>
    </w:p>
    <w:p w:rsidR="006634FE" w:rsidRPr="005822F2" w:rsidRDefault="006634FE" w:rsidP="006634FE">
      <w:pPr>
        <w:pStyle w:val="CM12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tervezett módosítások a település közművesítése tekintetében változtatást nem igényelnek, ezért a 2012. évben elfogadott terv </w:t>
      </w:r>
      <w:proofErr w:type="spellStart"/>
      <w:r w:rsidRPr="005822F2">
        <w:rPr>
          <w:rFonts w:ascii="Times New Roman" w:hAnsi="Times New Roman" w:cs="Times New Roman"/>
        </w:rPr>
        <w:t>közművesítési</w:t>
      </w:r>
      <w:proofErr w:type="spellEnd"/>
      <w:r w:rsidRPr="005822F2">
        <w:rPr>
          <w:rFonts w:ascii="Times New Roman" w:hAnsi="Times New Roman" w:cs="Times New Roman"/>
        </w:rPr>
        <w:t xml:space="preserve"> alátámasztó munkarészének kiegészítése nem szükséges. </w:t>
      </w:r>
    </w:p>
    <w:p w:rsidR="006634FE" w:rsidRPr="005822F2" w:rsidRDefault="006634FE" w:rsidP="006634FE">
      <w:pPr>
        <w:pStyle w:val="Default"/>
        <w:contextualSpacing/>
        <w:rPr>
          <w:rFonts w:ascii="Times New Roman" w:hAnsi="Times New Roman" w:cs="Times New Roman"/>
          <w:color w:val="auto"/>
        </w:rPr>
      </w:pPr>
    </w:p>
    <w:p w:rsidR="006634FE" w:rsidRPr="005822F2" w:rsidRDefault="006634FE" w:rsidP="006634FE">
      <w:pPr>
        <w:pStyle w:val="CM15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i/>
          <w:iCs/>
        </w:rPr>
        <w:t xml:space="preserve">Hírközlés: </w:t>
      </w:r>
    </w:p>
    <w:p w:rsidR="006634FE" w:rsidRPr="005822F2" w:rsidRDefault="006634FE" w:rsidP="006634FE">
      <w:pPr>
        <w:pStyle w:val="CM11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tervezett változtatások a település hírközlésére vonatkozó hatása nincs, ezért a 2012. évben elfogadott terv hírközlési alátámasztó munkarészének kiegészítése nem szükséges. </w:t>
      </w:r>
    </w:p>
    <w:p w:rsidR="006634FE" w:rsidRPr="005822F2" w:rsidRDefault="006634FE" w:rsidP="006634FE">
      <w:pPr>
        <w:pStyle w:val="Default"/>
        <w:contextualSpacing/>
        <w:rPr>
          <w:rFonts w:ascii="Times New Roman" w:hAnsi="Times New Roman" w:cs="Times New Roman"/>
        </w:rPr>
      </w:pPr>
    </w:p>
    <w:p w:rsidR="006634FE" w:rsidRPr="005822F2" w:rsidRDefault="006634FE" w:rsidP="006634FE">
      <w:pPr>
        <w:pStyle w:val="CM15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  <w:i/>
          <w:iCs/>
        </w:rPr>
        <w:t xml:space="preserve">A területrendezési </w:t>
      </w:r>
      <w:proofErr w:type="gramStart"/>
      <w:r w:rsidRPr="005822F2">
        <w:rPr>
          <w:rFonts w:ascii="Times New Roman" w:hAnsi="Times New Roman" w:cs="Times New Roman"/>
          <w:i/>
          <w:iCs/>
        </w:rPr>
        <w:t>terv(</w:t>
      </w:r>
      <w:proofErr w:type="spellStart"/>
      <w:proofErr w:type="gramEnd"/>
      <w:r w:rsidRPr="005822F2">
        <w:rPr>
          <w:rFonts w:ascii="Times New Roman" w:hAnsi="Times New Roman" w:cs="Times New Roman"/>
          <w:i/>
          <w:iCs/>
        </w:rPr>
        <w:t>ek</w:t>
      </w:r>
      <w:proofErr w:type="spellEnd"/>
      <w:r w:rsidRPr="005822F2">
        <w:rPr>
          <w:rFonts w:ascii="Times New Roman" w:hAnsi="Times New Roman" w:cs="Times New Roman"/>
          <w:i/>
          <w:iCs/>
        </w:rPr>
        <w:t xml:space="preserve">) és a településszerkezeti terv összhangjának igazolása </w:t>
      </w:r>
    </w:p>
    <w:p w:rsidR="006634FE" w:rsidRPr="005822F2" w:rsidRDefault="006634FE" w:rsidP="006634FE">
      <w:pPr>
        <w:pStyle w:val="CM12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terveknek összhangban kell lenni a jogszabályi hierarchiában magasabb rendű jogszabályokkal, tervekkel (többször módosított, az Országos Területrendezési Tervről szóló 2003. évi XXVI. törvény - továbbiakban: </w:t>
      </w:r>
      <w:proofErr w:type="spellStart"/>
      <w:r w:rsidRPr="005822F2">
        <w:rPr>
          <w:rFonts w:ascii="Times New Roman" w:hAnsi="Times New Roman" w:cs="Times New Roman"/>
        </w:rPr>
        <w:t>OTrT</w:t>
      </w:r>
      <w:proofErr w:type="spellEnd"/>
      <w:r w:rsidRPr="005822F2">
        <w:rPr>
          <w:rFonts w:ascii="Times New Roman" w:hAnsi="Times New Roman" w:cs="Times New Roman"/>
        </w:rPr>
        <w:t xml:space="preserve"> </w:t>
      </w:r>
      <w:proofErr w:type="spellStart"/>
      <w:r w:rsidRPr="005822F2">
        <w:rPr>
          <w:rFonts w:ascii="Times New Roman" w:hAnsi="Times New Roman" w:cs="Times New Roman"/>
        </w:rPr>
        <w:t>-és</w:t>
      </w:r>
      <w:proofErr w:type="spellEnd"/>
      <w:r w:rsidRPr="005822F2">
        <w:rPr>
          <w:rFonts w:ascii="Times New Roman" w:hAnsi="Times New Roman" w:cs="Times New Roman"/>
        </w:rPr>
        <w:t xml:space="preserve"> Fejér Megye Önkormányzata Közgyűlésének 1/2009. (II.13.) önkormányzati rendelete Fejér Megye Területrendezési Tervéről). </w:t>
      </w:r>
    </w:p>
    <w:p w:rsidR="006634FE" w:rsidRPr="005822F2" w:rsidRDefault="006634FE" w:rsidP="006634FE">
      <w:pPr>
        <w:pStyle w:val="CM13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módosítás során településszerkezeti változás történik, ezért az OTÉK 3. §. (3) bekezdés 6. pontja szerinti területrendezési tervek és a településszerkezeti terv összhangját igazolni szükséges. </w:t>
      </w:r>
    </w:p>
    <w:p w:rsidR="006634FE" w:rsidRPr="005822F2" w:rsidRDefault="006634FE" w:rsidP="006634FE">
      <w:pPr>
        <w:pStyle w:val="Default"/>
        <w:spacing w:after="120"/>
        <w:ind w:right="238"/>
        <w:contextualSpacing/>
        <w:jc w:val="both"/>
        <w:rPr>
          <w:rFonts w:ascii="Times New Roman" w:hAnsi="Times New Roman" w:cs="Times New Roman"/>
          <w:color w:val="auto"/>
        </w:rPr>
      </w:pPr>
      <w:r w:rsidRPr="005822F2">
        <w:rPr>
          <w:rFonts w:ascii="Times New Roman" w:hAnsi="Times New Roman" w:cs="Times New Roman"/>
          <w:color w:val="auto"/>
        </w:rPr>
        <w:t xml:space="preserve">Fejér megye Területrendezési tervét 1/2009.(II.13.) számú rendeletével fogadta el a megyei önkormányzat. </w:t>
      </w:r>
    </w:p>
    <w:p w:rsidR="006634FE" w:rsidRPr="005822F2" w:rsidRDefault="006634FE" w:rsidP="006634FE">
      <w:pPr>
        <w:pStyle w:val="CM13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megye szerkezeti terve szerint Velence települése térséggel, mezőgazdasági és vízgazdálkodási térséggel érintett.  </w:t>
      </w:r>
    </w:p>
    <w:p w:rsidR="006634FE" w:rsidRPr="005822F2" w:rsidRDefault="006634FE" w:rsidP="006634FE">
      <w:pPr>
        <w:pStyle w:val="CM12"/>
        <w:spacing w:after="120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>A település közigazgatási területét érinti az M7 autópálya, a 7. számú főút települést elkerülő szakasza, 8119 és 6207 jelű térségi jelentőségű mellékút, tervezett nagysebességű vasútvonal, országos törzshálózati vasútvonal, személyforgalmi kikötő, 7</w:t>
      </w:r>
      <w:proofErr w:type="gramStart"/>
      <w:r w:rsidRPr="005822F2">
        <w:rPr>
          <w:rFonts w:ascii="Times New Roman" w:hAnsi="Times New Roman" w:cs="Times New Roman"/>
        </w:rPr>
        <w:t>.A</w:t>
      </w:r>
      <w:proofErr w:type="gramEnd"/>
      <w:r w:rsidRPr="005822F2">
        <w:rPr>
          <w:rFonts w:ascii="Times New Roman" w:hAnsi="Times New Roman" w:cs="Times New Roman"/>
        </w:rPr>
        <w:t xml:space="preserve"> és 7.B jelű országos kerékpárút törzshálózat, térségi kerékpárút, nemzetközi és hazai szénhidrogén szállító vezeték, térségi szénhidrogén szállító vezeték, gázfogadó állomás. </w:t>
      </w:r>
    </w:p>
    <w:p w:rsidR="006634FE" w:rsidRPr="005822F2" w:rsidRDefault="006634FE" w:rsidP="006634FE">
      <w:pPr>
        <w:pStyle w:val="CM6"/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tervezett változtatások a megyei terv térségi terület-felhasználására és övezeteire nem jelentenek változást, ezért a 2012. évben elfogadott terv alátámasztó munkarészének kiegészítése nem szükséges. </w:t>
      </w:r>
    </w:p>
    <w:p w:rsidR="006634FE" w:rsidRPr="005822F2" w:rsidRDefault="006634FE" w:rsidP="006634FE">
      <w:pPr>
        <w:pStyle w:val="Default"/>
        <w:rPr>
          <w:rFonts w:ascii="Times New Roman" w:hAnsi="Times New Roman" w:cs="Times New Roman"/>
        </w:rPr>
      </w:pPr>
    </w:p>
    <w:p w:rsidR="006634FE" w:rsidRPr="005822F2" w:rsidRDefault="006634FE" w:rsidP="006634FE">
      <w:pPr>
        <w:pStyle w:val="CM15"/>
        <w:contextualSpacing/>
        <w:jc w:val="both"/>
        <w:rPr>
          <w:rFonts w:ascii="Times New Roman" w:hAnsi="Times New Roman" w:cs="Times New Roman"/>
          <w:i/>
          <w:iCs/>
        </w:rPr>
      </w:pPr>
      <w:r w:rsidRPr="005822F2">
        <w:rPr>
          <w:rFonts w:ascii="Times New Roman" w:hAnsi="Times New Roman" w:cs="Times New Roman"/>
          <w:i/>
          <w:iCs/>
        </w:rPr>
        <w:t xml:space="preserve">Biológiai aktivitás érték számítás </w:t>
      </w:r>
    </w:p>
    <w:p w:rsidR="006634FE" w:rsidRPr="005822F2" w:rsidRDefault="006634FE" w:rsidP="006634FE">
      <w:pPr>
        <w:pStyle w:val="CM6"/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822F2">
        <w:rPr>
          <w:rFonts w:ascii="Times New Roman" w:hAnsi="Times New Roman" w:cs="Times New Roman"/>
        </w:rPr>
        <w:t xml:space="preserve">A tervezett módosítás során újonnan beépítésre szánt terület kijelölése nem történik, ezért biológiai aktivitás érték számításra az épített környezet alakításáról és védelméről szóló 1997. évi LXXVIII. törvény 8. § (2) bekezdés b) pontja értelmében nem volt szükség. </w:t>
      </w:r>
    </w:p>
    <w:p w:rsidR="006634FE" w:rsidRPr="005822F2" w:rsidRDefault="006634FE" w:rsidP="006634FE">
      <w:pPr>
        <w:pStyle w:val="Default"/>
        <w:contextualSpacing/>
        <w:rPr>
          <w:rFonts w:ascii="Times New Roman" w:hAnsi="Times New Roman" w:cs="Times New Roman"/>
          <w:b/>
        </w:rPr>
      </w:pPr>
      <w:r w:rsidRPr="005822F2">
        <w:rPr>
          <w:rFonts w:ascii="Times New Roman" w:hAnsi="Times New Roman" w:cs="Times New Roman"/>
        </w:rPr>
        <w:br w:type="page"/>
      </w:r>
      <w:r w:rsidRPr="005822F2">
        <w:rPr>
          <w:rFonts w:ascii="Times New Roman" w:hAnsi="Times New Roman" w:cs="Times New Roman"/>
        </w:rPr>
        <w:lastRenderedPageBreak/>
        <w:t>„</w:t>
      </w:r>
      <w:r w:rsidRPr="005822F2">
        <w:rPr>
          <w:rFonts w:ascii="Times New Roman" w:hAnsi="Times New Roman" w:cs="Times New Roman"/>
          <w:b/>
        </w:rPr>
        <w:t>Fogalommagyarázat:</w:t>
      </w:r>
    </w:p>
    <w:p w:rsidR="006634FE" w:rsidRPr="005822F2" w:rsidRDefault="006634FE" w:rsidP="006634FE">
      <w:pPr>
        <w:jc w:val="both"/>
      </w:pPr>
    </w:p>
    <w:p w:rsidR="006634FE" w:rsidRPr="005822F2" w:rsidRDefault="006634FE" w:rsidP="006634FE">
      <w:pPr>
        <w:ind w:firstLine="204"/>
        <w:jc w:val="both"/>
      </w:pPr>
      <w:r w:rsidRPr="005822F2">
        <w:rPr>
          <w:b/>
        </w:rPr>
        <w:t>1</w:t>
      </w:r>
      <w:r w:rsidRPr="005822F2">
        <w:t>. Építménymagasság („H”): az építmény valamennyi, a telek beépítettsége meghatározásánál figyelembe veendő építmény kontúrvonalára állított függőleges felületre vetített homlokzati vetületi-felület összegének (F) valamennyi, e vetületi-felület vízszintesen mért hosszának összegével (1) való osztásából (F/L) eredő érték.</w:t>
      </w:r>
    </w:p>
    <w:p w:rsidR="006634FE" w:rsidRPr="005822F2" w:rsidRDefault="006634FE" w:rsidP="006634FE">
      <w:pPr>
        <w:ind w:firstLine="204"/>
        <w:jc w:val="both"/>
      </w:pPr>
      <w:r w:rsidRPr="005822F2">
        <w:t>Az építménymagasság megállapítása során:</w:t>
      </w:r>
    </w:p>
    <w:p w:rsidR="006634FE" w:rsidRPr="005822F2" w:rsidRDefault="006634FE" w:rsidP="006634FE">
      <w:pPr>
        <w:pStyle w:val="Listaszerbekezds"/>
        <w:spacing w:line="240" w:lineRule="auto"/>
        <w:ind w:left="564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2F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5822F2">
        <w:rPr>
          <w:rFonts w:ascii="Times New Roman" w:hAnsi="Times New Roman"/>
          <w:b/>
          <w:sz w:val="24"/>
          <w:szCs w:val="24"/>
        </w:rPr>
        <w:t>)</w:t>
      </w:r>
      <w:r w:rsidRPr="005822F2">
        <w:rPr>
          <w:rFonts w:ascii="Times New Roman" w:hAnsi="Times New Roman"/>
          <w:b/>
          <w:sz w:val="24"/>
          <w:szCs w:val="24"/>
        </w:rPr>
        <w:tab/>
      </w:r>
      <w:r w:rsidRPr="005822F2">
        <w:rPr>
          <w:rFonts w:ascii="Times New Roman" w:hAnsi="Times New Roman"/>
          <w:sz w:val="24"/>
          <w:szCs w:val="24"/>
        </w:rPr>
        <w:t>az egyes homlokzati vetületi-felületeket az adott felületi síknak és a legfelső teljes építményszint záró szerkezetének felső síkjának metszésvonala vagy érintővonala és a síknak a rendezett tereppel való metszésvonala közötti magassággal kell megállapítani, legfeljebb 6,0 m magasságú két oromfal kivételével, amelyek nem az építmény hosszoldalán állnak,</w:t>
      </w:r>
    </w:p>
    <w:p w:rsidR="006634FE" w:rsidRPr="005822F2" w:rsidRDefault="006634FE" w:rsidP="006634FE">
      <w:pPr>
        <w:pStyle w:val="Listaszerbekezds"/>
        <w:spacing w:line="240" w:lineRule="auto"/>
        <w:ind w:left="564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2F2">
        <w:rPr>
          <w:rFonts w:ascii="Times New Roman" w:hAnsi="Times New Roman"/>
          <w:b/>
          <w:sz w:val="24"/>
          <w:szCs w:val="24"/>
        </w:rPr>
        <w:t>b)</w:t>
      </w:r>
      <w:r w:rsidRPr="005822F2">
        <w:rPr>
          <w:rFonts w:ascii="Times New Roman" w:hAnsi="Times New Roman"/>
          <w:b/>
          <w:sz w:val="24"/>
          <w:szCs w:val="24"/>
        </w:rPr>
        <w:tab/>
      </w:r>
      <w:r w:rsidRPr="005822F2">
        <w:rPr>
          <w:rFonts w:ascii="Times New Roman" w:hAnsi="Times New Roman"/>
          <w:sz w:val="24"/>
          <w:szCs w:val="24"/>
        </w:rPr>
        <w:t>az egyes homlokzatfelületekhez hozzá kell számítani - a kémény, a tetőszerelvények, a 0,5 m</w:t>
      </w:r>
      <w:r w:rsidRPr="005822F2">
        <w:rPr>
          <w:rFonts w:ascii="Times New Roman" w:hAnsi="Times New Roman"/>
          <w:position w:val="12"/>
          <w:sz w:val="24"/>
          <w:szCs w:val="24"/>
          <w:vertAlign w:val="superscript"/>
        </w:rPr>
        <w:t>2</w:t>
      </w:r>
      <w:proofErr w:type="spellStart"/>
      <w:r w:rsidRPr="005822F2">
        <w:rPr>
          <w:rFonts w:ascii="Times New Roman" w:hAnsi="Times New Roman"/>
          <w:sz w:val="24"/>
          <w:szCs w:val="24"/>
        </w:rPr>
        <w:t>-t</w:t>
      </w:r>
      <w:proofErr w:type="spellEnd"/>
      <w:r w:rsidRPr="005822F2">
        <w:rPr>
          <w:rFonts w:ascii="Times New Roman" w:hAnsi="Times New Roman"/>
          <w:sz w:val="24"/>
          <w:szCs w:val="24"/>
        </w:rPr>
        <w:t xml:space="preserve"> meg nem haladó felületű padlásvilágító ablak és az 1,0 m2-t meg nem haladó felületű reklámhordozók kivételével - mindazoknak az építményrészeknek (</w:t>
      </w:r>
      <w:proofErr w:type="spellStart"/>
      <w:r w:rsidRPr="005822F2">
        <w:rPr>
          <w:rFonts w:ascii="Times New Roman" w:hAnsi="Times New Roman"/>
          <w:sz w:val="24"/>
          <w:szCs w:val="24"/>
        </w:rPr>
        <w:t>attikafal</w:t>
      </w:r>
      <w:proofErr w:type="spellEnd"/>
      <w:r w:rsidRPr="005822F2">
        <w:rPr>
          <w:rFonts w:ascii="Times New Roman" w:hAnsi="Times New Roman"/>
          <w:sz w:val="24"/>
          <w:szCs w:val="24"/>
        </w:rPr>
        <w:t>, torony, kupola, tető, tetőrész vagy egyéb építményrész) a felületét, amelyek az a) pont szerinti metszésvonalra vagy érintővonalra az építmény irányában emelkedő 45° alatt vont sík fölé emelkednek, ezen építményrészeknek az illető homlokzat felületi síkjára ugyancsak 45° alatt vont - az előzővel párhuzamos - síkkal történő vetítéssel meghatározott</w:t>
      </w:r>
      <w:proofErr w:type="gramEnd"/>
      <w:r w:rsidRPr="005822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22F2">
        <w:rPr>
          <w:rFonts w:ascii="Times New Roman" w:hAnsi="Times New Roman"/>
          <w:sz w:val="24"/>
          <w:szCs w:val="24"/>
        </w:rPr>
        <w:t>magasságával</w:t>
      </w:r>
      <w:proofErr w:type="gramEnd"/>
      <w:r w:rsidRPr="005822F2">
        <w:rPr>
          <w:rFonts w:ascii="Times New Roman" w:hAnsi="Times New Roman"/>
          <w:sz w:val="24"/>
          <w:szCs w:val="24"/>
        </w:rPr>
        <w:t>,</w:t>
      </w:r>
    </w:p>
    <w:p w:rsidR="006634FE" w:rsidRPr="005822F2" w:rsidRDefault="006634FE" w:rsidP="006634FE">
      <w:pPr>
        <w:pStyle w:val="Listaszerbekezds"/>
        <w:spacing w:line="240" w:lineRule="auto"/>
        <w:ind w:left="564" w:hanging="360"/>
        <w:jc w:val="both"/>
        <w:rPr>
          <w:rFonts w:ascii="Times New Roman" w:hAnsi="Times New Roman"/>
          <w:sz w:val="24"/>
          <w:szCs w:val="24"/>
        </w:rPr>
      </w:pPr>
      <w:r w:rsidRPr="005822F2">
        <w:rPr>
          <w:rFonts w:ascii="Times New Roman" w:hAnsi="Times New Roman"/>
          <w:b/>
          <w:sz w:val="24"/>
          <w:szCs w:val="24"/>
        </w:rPr>
        <w:t>c)</w:t>
      </w:r>
      <w:r w:rsidRPr="005822F2">
        <w:rPr>
          <w:rFonts w:ascii="Times New Roman" w:hAnsi="Times New Roman"/>
          <w:b/>
          <w:sz w:val="24"/>
          <w:szCs w:val="24"/>
        </w:rPr>
        <w:tab/>
      </w:r>
      <w:r w:rsidRPr="005822F2">
        <w:rPr>
          <w:rFonts w:ascii="Times New Roman" w:hAnsi="Times New Roman"/>
          <w:sz w:val="24"/>
          <w:szCs w:val="24"/>
        </w:rPr>
        <w:t>a négy oldalról körülhatárolt légakna, légudvar, belső udvar homlokzatfelületeit, valamint a loggiák belső oldalfelületeit és azok vízszintesen mért hosszait figyelmen kívül kell hagyni,</w:t>
      </w:r>
    </w:p>
    <w:p w:rsidR="006634FE" w:rsidRPr="005822F2" w:rsidRDefault="006634FE" w:rsidP="006634FE">
      <w:pPr>
        <w:pStyle w:val="Listaszerbekezds"/>
        <w:spacing w:line="240" w:lineRule="auto"/>
        <w:ind w:left="564" w:hanging="360"/>
        <w:jc w:val="both"/>
        <w:rPr>
          <w:rFonts w:ascii="Times New Roman" w:hAnsi="Times New Roman"/>
          <w:sz w:val="24"/>
          <w:szCs w:val="24"/>
        </w:rPr>
      </w:pPr>
      <w:r w:rsidRPr="005822F2">
        <w:rPr>
          <w:rFonts w:ascii="Times New Roman" w:hAnsi="Times New Roman"/>
          <w:b/>
          <w:sz w:val="24"/>
          <w:szCs w:val="24"/>
        </w:rPr>
        <w:t>d)</w:t>
      </w:r>
      <w:r w:rsidRPr="005822F2">
        <w:rPr>
          <w:rFonts w:ascii="Times New Roman" w:hAnsi="Times New Roman"/>
          <w:b/>
          <w:sz w:val="24"/>
          <w:szCs w:val="24"/>
        </w:rPr>
        <w:tab/>
      </w:r>
      <w:r w:rsidRPr="005822F2">
        <w:rPr>
          <w:rFonts w:ascii="Times New Roman" w:hAnsi="Times New Roman"/>
          <w:sz w:val="24"/>
          <w:szCs w:val="24"/>
        </w:rPr>
        <w:t xml:space="preserve"> az egy telken álló több épület magasságát külön-külön kell figyelembe venni.</w:t>
      </w:r>
    </w:p>
    <w:p w:rsidR="006634FE" w:rsidRPr="005822F2" w:rsidRDefault="006634FE" w:rsidP="006634FE">
      <w:pPr>
        <w:ind w:firstLine="204"/>
        <w:jc w:val="both"/>
      </w:pPr>
      <w:r w:rsidRPr="005822F2">
        <w:t>Az épület egy homlokzatának magasságát a hozzá tartozó F/L érték alapján kell megállapítani.”</w:t>
      </w:r>
    </w:p>
    <w:p w:rsidR="006634FE" w:rsidRPr="005822F2" w:rsidRDefault="006634FE" w:rsidP="006634FE"/>
    <w:p w:rsidR="005D2AE8" w:rsidRDefault="005D2AE8">
      <w:bookmarkStart w:id="0" w:name="_GoBack"/>
      <w:bookmarkEnd w:id="0"/>
    </w:p>
    <w:sectPr w:rsidR="005D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FE"/>
    <w:rsid w:val="00071EDA"/>
    <w:rsid w:val="0013183A"/>
    <w:rsid w:val="001867B2"/>
    <w:rsid w:val="001C4202"/>
    <w:rsid w:val="001D393D"/>
    <w:rsid w:val="002131E0"/>
    <w:rsid w:val="00244074"/>
    <w:rsid w:val="004E48A6"/>
    <w:rsid w:val="00586A1E"/>
    <w:rsid w:val="005D2AE8"/>
    <w:rsid w:val="006634FE"/>
    <w:rsid w:val="007718DB"/>
    <w:rsid w:val="008F5BC6"/>
    <w:rsid w:val="00967C19"/>
    <w:rsid w:val="0097372B"/>
    <w:rsid w:val="009A3A06"/>
    <w:rsid w:val="00AD439E"/>
    <w:rsid w:val="00B4662A"/>
    <w:rsid w:val="00BD46DA"/>
    <w:rsid w:val="00C51E7C"/>
    <w:rsid w:val="00C85FEA"/>
    <w:rsid w:val="00E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9906-79A2-4C87-9B43-66222A54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3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634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CM9">
    <w:name w:val="CM9"/>
    <w:basedOn w:val="Default"/>
    <w:next w:val="Default"/>
    <w:uiPriority w:val="99"/>
    <w:rsid w:val="006634FE"/>
    <w:pPr>
      <w:spacing w:after="3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6634FE"/>
    <w:pPr>
      <w:spacing w:after="278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634FE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634FE"/>
    <w:pPr>
      <w:spacing w:after="538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6634FE"/>
    <w:pPr>
      <w:spacing w:after="14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6634FE"/>
    <w:pPr>
      <w:spacing w:line="31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634FE"/>
    <w:pPr>
      <w:spacing w:line="43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6634FE"/>
    <w:pPr>
      <w:spacing w:line="27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634FE"/>
    <w:pPr>
      <w:spacing w:after="203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634FE"/>
    <w:pPr>
      <w:spacing w:after="605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6634FE"/>
    <w:pPr>
      <w:spacing w:after="88"/>
    </w:pPr>
    <w:rPr>
      <w:color w:val="auto"/>
    </w:rPr>
  </w:style>
  <w:style w:type="paragraph" w:styleId="Listaszerbekezds">
    <w:name w:val="List Paragraph"/>
    <w:basedOn w:val="Norml"/>
    <w:uiPriority w:val="34"/>
    <w:rsid w:val="006634FE"/>
    <w:pPr>
      <w:spacing w:after="200" w:line="276" w:lineRule="atLeast"/>
      <w:ind w:left="7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11199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Kusnyárné Retezi Gyöngyi</dc:creator>
  <cp:keywords/>
  <dc:description/>
  <cp:lastModifiedBy>Kusnyárné Retezi Gyöngyi</cp:lastModifiedBy>
  <cp:revision>1</cp:revision>
  <dcterms:created xsi:type="dcterms:W3CDTF">2015-11-27T12:21:00Z</dcterms:created>
  <dcterms:modified xsi:type="dcterms:W3CDTF">2015-11-27T12:22:00Z</dcterms:modified>
</cp:coreProperties>
</file>