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B2D" w:rsidRPr="00EE1F90" w:rsidRDefault="00721B2D" w:rsidP="00721B2D">
      <w:pPr>
        <w:numPr>
          <w:ilvl w:val="1"/>
          <w:numId w:val="1"/>
        </w:numPr>
        <w:ind w:left="284" w:hanging="284"/>
        <w:contextualSpacing/>
        <w:jc w:val="center"/>
        <w:rPr>
          <w:rFonts w:ascii="Book Antiqua" w:hAnsi="Book Antiqua" w:cstheme="minorHAnsi"/>
          <w:b/>
          <w:sz w:val="28"/>
          <w:szCs w:val="28"/>
        </w:rPr>
      </w:pPr>
      <w:r w:rsidRPr="00EE1F90">
        <w:rPr>
          <w:rFonts w:ascii="Book Antiqua" w:hAnsi="Book Antiqua" w:cstheme="minorHAnsi"/>
          <w:b/>
          <w:sz w:val="28"/>
          <w:szCs w:val="28"/>
        </w:rPr>
        <w:t>függelék</w:t>
      </w:r>
    </w:p>
    <w:p w:rsidR="00721B2D" w:rsidRPr="00EE1F90" w:rsidRDefault="00721B2D" w:rsidP="00721B2D">
      <w:pPr>
        <w:spacing w:after="0" w:line="300" w:lineRule="exact"/>
        <w:ind w:left="227"/>
        <w:jc w:val="center"/>
        <w:rPr>
          <w:rFonts w:ascii="Book Antiqua" w:hAnsi="Book Antiqua" w:cstheme="minorHAnsi"/>
          <w:b/>
          <w:sz w:val="28"/>
          <w:szCs w:val="28"/>
        </w:rPr>
      </w:pPr>
      <w:proofErr w:type="gramStart"/>
      <w:r w:rsidRPr="00EE1F90">
        <w:rPr>
          <w:rFonts w:ascii="Book Antiqua" w:hAnsi="Book Antiqua" w:cstheme="minorHAnsi"/>
          <w:sz w:val="28"/>
          <w:szCs w:val="28"/>
        </w:rPr>
        <w:t>a</w:t>
      </w:r>
      <w:proofErr w:type="gramEnd"/>
      <w:r w:rsidRPr="00EE1F90">
        <w:rPr>
          <w:rFonts w:ascii="Book Antiqua" w:hAnsi="Book Antiqua" w:cstheme="minorHAnsi"/>
          <w:sz w:val="28"/>
          <w:szCs w:val="28"/>
        </w:rPr>
        <w:t xml:space="preserve"> 2</w:t>
      </w:r>
      <w:r w:rsidRPr="00EE1F90">
        <w:rPr>
          <w:rFonts w:ascii="Book Antiqua" w:hAnsi="Book Antiqua" w:cstheme="minorHAnsi"/>
          <w:sz w:val="28"/>
          <w:szCs w:val="28"/>
          <w:lang w:bidi="hu-HU"/>
        </w:rPr>
        <w:t xml:space="preserve"> /2019.(II.22.) önkormányzati rendelethez</w:t>
      </w:r>
    </w:p>
    <w:p w:rsidR="00721B2D" w:rsidRPr="00EE1F90" w:rsidRDefault="00721B2D" w:rsidP="00721B2D">
      <w:pPr>
        <w:contextualSpacing/>
        <w:rPr>
          <w:rFonts w:ascii="Book Antiqua" w:hAnsi="Book Antiqua" w:cstheme="minorHAnsi"/>
          <w:b/>
        </w:rPr>
      </w:pPr>
    </w:p>
    <w:p w:rsidR="00721B2D" w:rsidRDefault="00721B2D" w:rsidP="00721B2D">
      <w:pPr>
        <w:spacing w:after="0" w:line="276" w:lineRule="auto"/>
        <w:jc w:val="center"/>
        <w:rPr>
          <w:rFonts w:ascii="Book Antiqua" w:eastAsia="Calibri" w:hAnsi="Book Antiqua" w:cstheme="minorHAnsi"/>
          <w:b/>
          <w:sz w:val="28"/>
          <w:szCs w:val="28"/>
          <w:lang w:bidi="hu-HU"/>
        </w:rPr>
      </w:pPr>
      <w:r w:rsidRPr="00EE1F90">
        <w:rPr>
          <w:rFonts w:ascii="Book Antiqua" w:eastAsia="Calibri" w:hAnsi="Book Antiqua" w:cstheme="minorHAnsi"/>
          <w:b/>
          <w:sz w:val="28"/>
          <w:szCs w:val="28"/>
          <w:lang w:bidi="hu-HU"/>
        </w:rPr>
        <w:t>Településkép védelme szempontjából kiemelt területek</w:t>
      </w:r>
    </w:p>
    <w:p w:rsidR="00721B2D" w:rsidRPr="00EE1F90" w:rsidRDefault="00721B2D" w:rsidP="00721B2D">
      <w:pPr>
        <w:spacing w:after="0" w:line="276" w:lineRule="auto"/>
        <w:jc w:val="center"/>
        <w:rPr>
          <w:rFonts w:cstheme="minorHAnsi"/>
          <w:b/>
          <w:i/>
          <w:u w:val="single"/>
          <w:lang w:bidi="hu-HU"/>
        </w:rPr>
      </w:pPr>
      <w:r>
        <w:rPr>
          <w:rFonts w:ascii="Book Antiqua" w:hAnsi="Book Antiqua" w:cstheme="minorHAnsi"/>
          <w:sz w:val="28"/>
          <w:szCs w:val="28"/>
          <w:u w:val="single"/>
          <w:lang w:bidi="hu-HU"/>
        </w:rPr>
        <w:t xml:space="preserve">  </w:t>
      </w:r>
      <w:proofErr w:type="gramStart"/>
      <w:r>
        <w:rPr>
          <w:rFonts w:ascii="Book Antiqua" w:hAnsi="Book Antiqua" w:cstheme="minorHAnsi"/>
          <w:sz w:val="28"/>
          <w:szCs w:val="28"/>
          <w:u w:val="single"/>
          <w:lang w:bidi="hu-HU"/>
        </w:rPr>
        <w:t>A.</w:t>
      </w:r>
      <w:proofErr w:type="gramEnd"/>
      <w:r>
        <w:rPr>
          <w:rFonts w:ascii="Book Antiqua" w:hAnsi="Book Antiqua" w:cstheme="minorHAnsi"/>
          <w:sz w:val="28"/>
          <w:szCs w:val="28"/>
          <w:u w:val="single"/>
          <w:lang w:bidi="hu-HU"/>
        </w:rPr>
        <w:t xml:space="preserve">/ </w:t>
      </w:r>
      <w:r w:rsidRPr="00EE1F90">
        <w:rPr>
          <w:rFonts w:ascii="Book Antiqua" w:hAnsi="Book Antiqua" w:cstheme="minorHAnsi"/>
          <w:sz w:val="28"/>
          <w:szCs w:val="28"/>
          <w:u w:val="single"/>
          <w:lang w:bidi="hu-HU"/>
        </w:rPr>
        <w:t>Táj- és természetvédelem alatt álló területek</w:t>
      </w:r>
      <w:r w:rsidRPr="005D610A">
        <w:rPr>
          <w:rFonts w:cstheme="minorHAnsi"/>
          <w:noProof/>
          <w:lang w:eastAsia="hu-HU"/>
        </w:rPr>
        <w:drawing>
          <wp:inline distT="0" distB="0" distL="0" distR="0" wp14:anchorId="29F0F003" wp14:editId="1B346780">
            <wp:extent cx="5759450" cy="767778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sibrák_NP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67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1F90">
        <w:rPr>
          <w:rFonts w:cstheme="minorHAnsi"/>
          <w:b/>
          <w:i/>
          <w:u w:val="single"/>
          <w:lang w:bidi="hu-HU"/>
        </w:rPr>
        <w:br w:type="page"/>
      </w:r>
    </w:p>
    <w:p w:rsidR="00721B2D" w:rsidRPr="00EE1F90" w:rsidRDefault="00721B2D" w:rsidP="00721B2D">
      <w:pPr>
        <w:spacing w:after="0" w:line="300" w:lineRule="exact"/>
        <w:contextualSpacing/>
        <w:rPr>
          <w:rFonts w:ascii="Book Antiqua" w:hAnsi="Book Antiqua" w:cstheme="minorHAnsi"/>
          <w:sz w:val="24"/>
          <w:szCs w:val="24"/>
          <w:u w:val="single"/>
          <w:lang w:bidi="hu-HU"/>
        </w:rPr>
      </w:pPr>
      <w:r>
        <w:rPr>
          <w:rFonts w:ascii="Book Antiqua" w:hAnsi="Book Antiqua" w:cstheme="minorHAnsi"/>
          <w:sz w:val="24"/>
          <w:szCs w:val="24"/>
          <w:u w:val="single"/>
          <w:lang w:bidi="hu-HU"/>
        </w:rPr>
        <w:lastRenderedPageBreak/>
        <w:t xml:space="preserve">B./ </w:t>
      </w:r>
      <w:r w:rsidRPr="00EE1F90">
        <w:rPr>
          <w:rFonts w:ascii="Book Antiqua" w:hAnsi="Book Antiqua" w:cstheme="minorHAnsi"/>
          <w:sz w:val="24"/>
          <w:szCs w:val="24"/>
          <w:u w:val="single"/>
          <w:lang w:bidi="hu-HU"/>
        </w:rPr>
        <w:t>Örökségvédelemmel érintett területek</w:t>
      </w:r>
    </w:p>
    <w:p w:rsidR="00721B2D" w:rsidRPr="00EE1F90" w:rsidRDefault="00721B2D" w:rsidP="00721B2D">
      <w:pPr>
        <w:spacing w:after="0" w:line="300" w:lineRule="exact"/>
        <w:contextualSpacing/>
        <w:rPr>
          <w:rFonts w:ascii="Book Antiqua" w:hAnsi="Book Antiqua" w:cstheme="minorHAnsi"/>
          <w:iCs/>
          <w:sz w:val="24"/>
          <w:szCs w:val="24"/>
          <w:lang w:bidi="hu-HU"/>
        </w:rPr>
      </w:pPr>
    </w:p>
    <w:p w:rsidR="00721B2D" w:rsidRPr="00EE1F90" w:rsidRDefault="00721B2D" w:rsidP="00721B2D">
      <w:pPr>
        <w:spacing w:after="0" w:line="300" w:lineRule="exact"/>
        <w:contextualSpacing/>
        <w:rPr>
          <w:rFonts w:ascii="Book Antiqua" w:hAnsi="Book Antiqua" w:cstheme="minorHAnsi"/>
          <w:i/>
          <w:iCs/>
          <w:sz w:val="24"/>
          <w:szCs w:val="24"/>
          <w:lang w:bidi="hu-HU"/>
        </w:rPr>
      </w:pPr>
      <w:r w:rsidRPr="00EE1F90">
        <w:rPr>
          <w:rFonts w:ascii="Book Antiqua" w:hAnsi="Book Antiqua" w:cstheme="minorHAnsi"/>
          <w:i/>
          <w:iCs/>
          <w:sz w:val="24"/>
          <w:szCs w:val="24"/>
          <w:lang w:bidi="hu-HU"/>
        </w:rPr>
        <w:t>Régészeti területek: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1281"/>
        <w:gridCol w:w="709"/>
        <w:gridCol w:w="2268"/>
        <w:gridCol w:w="2835"/>
      </w:tblGrid>
      <w:tr w:rsidR="00721B2D" w:rsidRPr="00EE1F90" w:rsidTr="006F6079">
        <w:trPr>
          <w:tblCellSpacing w:w="15" w:type="dxa"/>
        </w:trPr>
        <w:tc>
          <w:tcPr>
            <w:tcW w:w="937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jc w:val="center"/>
              <w:rPr>
                <w:rFonts w:ascii="Book Antiqua" w:eastAsia="Calibri" w:hAnsi="Book Antiqua" w:cstheme="minorHAnsi"/>
                <w:b/>
                <w:bCs/>
                <w:sz w:val="24"/>
                <w:szCs w:val="24"/>
              </w:rPr>
            </w:pPr>
            <w:r w:rsidRPr="00EE1F90">
              <w:rPr>
                <w:rFonts w:ascii="Book Antiqua" w:eastAsia="Calibri" w:hAnsi="Book Antiqua" w:cstheme="minorHAnsi"/>
                <w:b/>
                <w:bCs/>
                <w:sz w:val="24"/>
                <w:szCs w:val="24"/>
              </w:rPr>
              <w:t>azonosító</w:t>
            </w:r>
          </w:p>
        </w:tc>
        <w:tc>
          <w:tcPr>
            <w:tcW w:w="1251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jc w:val="center"/>
              <w:rPr>
                <w:rFonts w:ascii="Book Antiqua" w:eastAsia="Calibri" w:hAnsi="Book Antiqua" w:cstheme="minorHAnsi"/>
                <w:b/>
                <w:bCs/>
                <w:sz w:val="24"/>
                <w:szCs w:val="24"/>
              </w:rPr>
            </w:pPr>
            <w:r w:rsidRPr="00EE1F90">
              <w:rPr>
                <w:rFonts w:ascii="Book Antiqua" w:eastAsia="Calibri" w:hAnsi="Book Antiqua" w:cstheme="minorHAnsi"/>
                <w:b/>
                <w:bCs/>
                <w:sz w:val="24"/>
                <w:szCs w:val="24"/>
              </w:rPr>
              <w:t>település</w:t>
            </w:r>
          </w:p>
        </w:tc>
        <w:tc>
          <w:tcPr>
            <w:tcW w:w="679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jc w:val="center"/>
              <w:rPr>
                <w:rFonts w:ascii="Book Antiqua" w:eastAsia="Calibri" w:hAnsi="Book Antiqua" w:cstheme="minorHAnsi"/>
                <w:b/>
                <w:bCs/>
                <w:sz w:val="24"/>
                <w:szCs w:val="24"/>
              </w:rPr>
            </w:pPr>
            <w:r w:rsidRPr="00EE1F90">
              <w:rPr>
                <w:rFonts w:ascii="Book Antiqua" w:eastAsia="Calibri" w:hAnsi="Book Antiqua" w:cstheme="minorHAnsi"/>
                <w:b/>
                <w:bCs/>
                <w:sz w:val="24"/>
                <w:szCs w:val="24"/>
              </w:rPr>
              <w:t>szám</w:t>
            </w:r>
          </w:p>
        </w:tc>
        <w:tc>
          <w:tcPr>
            <w:tcW w:w="2238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jc w:val="center"/>
              <w:rPr>
                <w:rFonts w:ascii="Book Antiqua" w:eastAsia="Calibri" w:hAnsi="Book Antiqua" w:cstheme="minorHAnsi"/>
                <w:b/>
                <w:bCs/>
                <w:sz w:val="24"/>
                <w:szCs w:val="24"/>
              </w:rPr>
            </w:pPr>
            <w:r w:rsidRPr="00EE1F90">
              <w:rPr>
                <w:rFonts w:ascii="Book Antiqua" w:eastAsia="Calibri" w:hAnsi="Book Antiqua" w:cstheme="minorHAnsi"/>
                <w:b/>
                <w:bCs/>
                <w:sz w:val="24"/>
                <w:szCs w:val="24"/>
              </w:rPr>
              <w:t>régészeti védelem</w:t>
            </w:r>
          </w:p>
        </w:tc>
        <w:tc>
          <w:tcPr>
            <w:tcW w:w="2790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jc w:val="center"/>
              <w:rPr>
                <w:rFonts w:ascii="Book Antiqua" w:eastAsia="Calibri" w:hAnsi="Book Antiqua" w:cstheme="minorHAnsi"/>
                <w:b/>
                <w:bCs/>
                <w:sz w:val="24"/>
                <w:szCs w:val="24"/>
              </w:rPr>
            </w:pPr>
            <w:r w:rsidRPr="00EE1F90">
              <w:rPr>
                <w:rFonts w:ascii="Book Antiqua" w:eastAsia="Calibri" w:hAnsi="Book Antiqua" w:cstheme="minorHAnsi"/>
                <w:b/>
                <w:bCs/>
                <w:sz w:val="24"/>
                <w:szCs w:val="24"/>
              </w:rPr>
              <w:t>név</w:t>
            </w:r>
          </w:p>
        </w:tc>
      </w:tr>
      <w:tr w:rsidR="00721B2D" w:rsidRPr="00EE1F90" w:rsidTr="006F6079">
        <w:trPr>
          <w:tblCellSpacing w:w="15" w:type="dxa"/>
        </w:trPr>
        <w:tc>
          <w:tcPr>
            <w:tcW w:w="937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EE1F90">
              <w:rPr>
                <w:rFonts w:ascii="Book Antiqua" w:eastAsia="Calibri" w:hAnsi="Book Antiqua" w:cstheme="minorHAnsi"/>
                <w:sz w:val="24"/>
                <w:szCs w:val="24"/>
              </w:rPr>
              <w:t>23611</w:t>
            </w:r>
          </w:p>
        </w:tc>
        <w:tc>
          <w:tcPr>
            <w:tcW w:w="1251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EE1F90">
              <w:rPr>
                <w:rFonts w:ascii="Book Antiqua" w:eastAsia="Calibri" w:hAnsi="Book Antiqua" w:cstheme="minorHAnsi"/>
                <w:sz w:val="24"/>
                <w:szCs w:val="24"/>
              </w:rPr>
              <w:t>Csibrák</w:t>
            </w:r>
          </w:p>
        </w:tc>
        <w:tc>
          <w:tcPr>
            <w:tcW w:w="679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EE1F90">
              <w:rPr>
                <w:rFonts w:ascii="Book Antiqua" w:eastAsia="Calibri" w:hAnsi="Book Antiqua" w:cstheme="minorHAnsi"/>
                <w:sz w:val="24"/>
                <w:szCs w:val="24"/>
              </w:rPr>
              <w:t>1</w:t>
            </w:r>
          </w:p>
        </w:tc>
        <w:tc>
          <w:tcPr>
            <w:tcW w:w="2238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EE1F90">
              <w:rPr>
                <w:rFonts w:ascii="Book Antiqua" w:eastAsia="Calibri" w:hAnsi="Book Antiqua" w:cstheme="minorHAnsi"/>
                <w:sz w:val="24"/>
                <w:szCs w:val="24"/>
              </w:rPr>
              <w:t>régészeti lelőhely</w:t>
            </w:r>
          </w:p>
        </w:tc>
        <w:tc>
          <w:tcPr>
            <w:tcW w:w="2790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rPr>
                <w:rFonts w:ascii="Book Antiqua" w:eastAsia="Calibri" w:hAnsi="Book Antiqua" w:cstheme="minorHAnsi"/>
                <w:sz w:val="24"/>
                <w:szCs w:val="24"/>
              </w:rPr>
            </w:pPr>
            <w:hyperlink r:id="rId6" w:history="1">
              <w:r w:rsidRPr="00EE1F90">
                <w:rPr>
                  <w:rFonts w:ascii="Book Antiqua" w:eastAsia="Calibri" w:hAnsi="Book Antiqua" w:cstheme="minorHAnsi"/>
                  <w:sz w:val="24"/>
                  <w:szCs w:val="24"/>
                </w:rPr>
                <w:t>Csibrák</w:t>
              </w:r>
            </w:hyperlink>
          </w:p>
        </w:tc>
      </w:tr>
      <w:tr w:rsidR="00721B2D" w:rsidRPr="00EE1F90" w:rsidTr="006F6079">
        <w:trPr>
          <w:tblCellSpacing w:w="15" w:type="dxa"/>
        </w:trPr>
        <w:tc>
          <w:tcPr>
            <w:tcW w:w="937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EE1F90">
              <w:rPr>
                <w:rFonts w:ascii="Book Antiqua" w:eastAsia="Calibri" w:hAnsi="Book Antiqua" w:cstheme="minorHAnsi"/>
                <w:sz w:val="24"/>
                <w:szCs w:val="24"/>
              </w:rPr>
              <w:t>23630</w:t>
            </w:r>
          </w:p>
        </w:tc>
        <w:tc>
          <w:tcPr>
            <w:tcW w:w="1251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EE1F90">
              <w:rPr>
                <w:rFonts w:ascii="Book Antiqua" w:eastAsia="Calibri" w:hAnsi="Book Antiqua" w:cstheme="minorHAnsi"/>
                <w:sz w:val="24"/>
                <w:szCs w:val="24"/>
              </w:rPr>
              <w:t>Csibrák</w:t>
            </w:r>
          </w:p>
        </w:tc>
        <w:tc>
          <w:tcPr>
            <w:tcW w:w="679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EE1F90">
              <w:rPr>
                <w:rFonts w:ascii="Book Antiqua" w:eastAsia="Calibri" w:hAnsi="Book Antiqua" w:cstheme="minorHAnsi"/>
                <w:sz w:val="24"/>
                <w:szCs w:val="24"/>
              </w:rPr>
              <w:t>2</w:t>
            </w:r>
          </w:p>
        </w:tc>
        <w:tc>
          <w:tcPr>
            <w:tcW w:w="2238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EE1F90">
              <w:rPr>
                <w:rFonts w:ascii="Book Antiqua" w:eastAsia="Calibri" w:hAnsi="Book Antiqua" w:cstheme="minorHAnsi"/>
                <w:sz w:val="24"/>
                <w:szCs w:val="24"/>
              </w:rPr>
              <w:t>régészeti lelőhely</w:t>
            </w:r>
          </w:p>
        </w:tc>
        <w:tc>
          <w:tcPr>
            <w:tcW w:w="2790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rPr>
                <w:rFonts w:ascii="Book Antiqua" w:eastAsia="Calibri" w:hAnsi="Book Antiqua" w:cstheme="minorHAnsi"/>
                <w:sz w:val="24"/>
                <w:szCs w:val="24"/>
              </w:rPr>
            </w:pPr>
            <w:hyperlink r:id="rId7" w:history="1">
              <w:r w:rsidRPr="00EE1F90">
                <w:rPr>
                  <w:rFonts w:ascii="Book Antiqua" w:eastAsia="Calibri" w:hAnsi="Book Antiqua" w:cstheme="minorHAnsi"/>
                  <w:sz w:val="24"/>
                  <w:szCs w:val="24"/>
                </w:rPr>
                <w:t>Csibrák II.</w:t>
              </w:r>
            </w:hyperlink>
          </w:p>
        </w:tc>
      </w:tr>
      <w:tr w:rsidR="00721B2D" w:rsidRPr="00EE1F90" w:rsidTr="006F6079">
        <w:trPr>
          <w:tblCellSpacing w:w="15" w:type="dxa"/>
        </w:trPr>
        <w:tc>
          <w:tcPr>
            <w:tcW w:w="937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EE1F90">
              <w:rPr>
                <w:rFonts w:ascii="Book Antiqua" w:eastAsia="Calibri" w:hAnsi="Book Antiqua" w:cstheme="minorHAnsi"/>
                <w:sz w:val="24"/>
                <w:szCs w:val="24"/>
              </w:rPr>
              <w:t>58946</w:t>
            </w:r>
          </w:p>
        </w:tc>
        <w:tc>
          <w:tcPr>
            <w:tcW w:w="1251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EE1F90">
              <w:rPr>
                <w:rFonts w:ascii="Book Antiqua" w:eastAsia="Calibri" w:hAnsi="Book Antiqua" w:cstheme="minorHAnsi"/>
                <w:sz w:val="24"/>
                <w:szCs w:val="24"/>
              </w:rPr>
              <w:t>Csibrák</w:t>
            </w:r>
          </w:p>
        </w:tc>
        <w:tc>
          <w:tcPr>
            <w:tcW w:w="679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EE1F90">
              <w:rPr>
                <w:rFonts w:ascii="Book Antiqua" w:eastAsia="Calibri" w:hAnsi="Book Antiqua" w:cstheme="minorHAnsi"/>
                <w:sz w:val="24"/>
                <w:szCs w:val="24"/>
              </w:rPr>
              <w:t>3</w:t>
            </w:r>
          </w:p>
        </w:tc>
        <w:tc>
          <w:tcPr>
            <w:tcW w:w="2238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EE1F90">
              <w:rPr>
                <w:rFonts w:ascii="Book Antiqua" w:eastAsia="Calibri" w:hAnsi="Book Antiqua" w:cstheme="minorHAnsi"/>
                <w:sz w:val="24"/>
                <w:szCs w:val="24"/>
              </w:rPr>
              <w:t>régészeti lelőhely</w:t>
            </w:r>
          </w:p>
        </w:tc>
        <w:tc>
          <w:tcPr>
            <w:tcW w:w="2790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rPr>
                <w:rFonts w:ascii="Book Antiqua" w:eastAsia="Calibri" w:hAnsi="Book Antiqua" w:cstheme="minorHAnsi"/>
                <w:sz w:val="24"/>
                <w:szCs w:val="24"/>
              </w:rPr>
            </w:pPr>
            <w:hyperlink r:id="rId8" w:history="1">
              <w:r w:rsidRPr="00EE1F90">
                <w:rPr>
                  <w:rFonts w:ascii="Book Antiqua" w:eastAsia="Calibri" w:hAnsi="Book Antiqua" w:cstheme="minorHAnsi"/>
                  <w:sz w:val="24"/>
                  <w:szCs w:val="24"/>
                </w:rPr>
                <w:t>Római katolikus templom</w:t>
              </w:r>
            </w:hyperlink>
          </w:p>
        </w:tc>
      </w:tr>
      <w:tr w:rsidR="00721B2D" w:rsidRPr="00EE1F90" w:rsidTr="006F6079">
        <w:trPr>
          <w:tblCellSpacing w:w="15" w:type="dxa"/>
        </w:trPr>
        <w:tc>
          <w:tcPr>
            <w:tcW w:w="937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EE1F90">
              <w:rPr>
                <w:rFonts w:ascii="Book Antiqua" w:eastAsia="Calibri" w:hAnsi="Book Antiqua" w:cstheme="minorHAnsi"/>
                <w:sz w:val="24"/>
                <w:szCs w:val="24"/>
              </w:rPr>
              <w:t>89187</w:t>
            </w:r>
          </w:p>
        </w:tc>
        <w:tc>
          <w:tcPr>
            <w:tcW w:w="1251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EE1F90">
              <w:rPr>
                <w:rFonts w:ascii="Book Antiqua" w:eastAsia="Calibri" w:hAnsi="Book Antiqua" w:cstheme="minorHAnsi"/>
                <w:sz w:val="24"/>
                <w:szCs w:val="24"/>
              </w:rPr>
              <w:t>Csibrák</w:t>
            </w:r>
          </w:p>
        </w:tc>
        <w:tc>
          <w:tcPr>
            <w:tcW w:w="679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EE1F90">
              <w:rPr>
                <w:rFonts w:ascii="Book Antiqua" w:eastAsia="Calibri" w:hAnsi="Book Antiqua" w:cstheme="minorHAnsi"/>
                <w:sz w:val="24"/>
                <w:szCs w:val="24"/>
              </w:rPr>
              <w:t>4</w:t>
            </w:r>
          </w:p>
        </w:tc>
        <w:tc>
          <w:tcPr>
            <w:tcW w:w="2238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rPr>
                <w:rFonts w:ascii="Book Antiqua" w:eastAsia="Calibri" w:hAnsi="Book Antiqua" w:cstheme="minorHAnsi"/>
                <w:sz w:val="24"/>
                <w:szCs w:val="24"/>
              </w:rPr>
            </w:pPr>
            <w:r w:rsidRPr="00EE1F90">
              <w:rPr>
                <w:rFonts w:ascii="Book Antiqua" w:eastAsia="Calibri" w:hAnsi="Book Antiqua" w:cstheme="minorHAnsi"/>
                <w:sz w:val="24"/>
                <w:szCs w:val="24"/>
              </w:rPr>
              <w:t>régészeti lelőhely</w:t>
            </w:r>
          </w:p>
        </w:tc>
        <w:tc>
          <w:tcPr>
            <w:tcW w:w="2790" w:type="dxa"/>
            <w:vAlign w:val="center"/>
            <w:hideMark/>
          </w:tcPr>
          <w:p w:rsidR="00721B2D" w:rsidRPr="00EE1F90" w:rsidRDefault="00721B2D" w:rsidP="006F6079">
            <w:pPr>
              <w:spacing w:after="200" w:line="276" w:lineRule="auto"/>
              <w:rPr>
                <w:rFonts w:ascii="Book Antiqua" w:eastAsia="Calibri" w:hAnsi="Book Antiqua" w:cstheme="minorHAnsi"/>
                <w:sz w:val="24"/>
                <w:szCs w:val="24"/>
              </w:rPr>
            </w:pPr>
            <w:hyperlink r:id="rId9" w:history="1">
              <w:r w:rsidRPr="00EE1F90">
                <w:rPr>
                  <w:rFonts w:ascii="Book Antiqua" w:eastAsia="Calibri" w:hAnsi="Book Antiqua" w:cstheme="minorHAnsi"/>
                  <w:sz w:val="24"/>
                  <w:szCs w:val="24"/>
                </w:rPr>
                <w:t>Alsó-homok-dűlő</w:t>
              </w:r>
            </w:hyperlink>
          </w:p>
        </w:tc>
      </w:tr>
    </w:tbl>
    <w:p w:rsidR="00721B2D" w:rsidRPr="00EE1F90" w:rsidRDefault="00721B2D" w:rsidP="00721B2D">
      <w:pPr>
        <w:spacing w:after="0" w:line="300" w:lineRule="exact"/>
        <w:contextualSpacing/>
        <w:rPr>
          <w:rFonts w:ascii="Book Antiqua" w:hAnsi="Book Antiqua" w:cstheme="minorHAnsi"/>
          <w:i/>
          <w:iCs/>
          <w:sz w:val="24"/>
          <w:szCs w:val="24"/>
          <w:lang w:bidi="hu-HU"/>
        </w:rPr>
      </w:pPr>
    </w:p>
    <w:p w:rsidR="00721B2D" w:rsidRPr="00F61443" w:rsidRDefault="00721B2D" w:rsidP="00721B2D">
      <w:pPr>
        <w:spacing w:after="0" w:line="300" w:lineRule="exact"/>
        <w:contextualSpacing/>
        <w:rPr>
          <w:rFonts w:cstheme="minorHAnsi"/>
          <w:iCs/>
          <w:lang w:bidi="hu-HU"/>
        </w:rPr>
      </w:pPr>
    </w:p>
    <w:p w:rsidR="00721B2D" w:rsidRPr="00F61443" w:rsidRDefault="00721B2D" w:rsidP="00721B2D">
      <w:pPr>
        <w:spacing w:after="0" w:line="300" w:lineRule="exact"/>
        <w:contextualSpacing/>
        <w:rPr>
          <w:rFonts w:cstheme="minorHAnsi"/>
          <w:lang w:bidi="hu-HU"/>
        </w:rPr>
      </w:pPr>
    </w:p>
    <w:p w:rsidR="00721B2D" w:rsidRDefault="00721B2D" w:rsidP="00721B2D">
      <w:pPr>
        <w:rPr>
          <w:rFonts w:cstheme="minorHAnsi"/>
          <w:b/>
        </w:rPr>
      </w:pPr>
    </w:p>
    <w:p w:rsidR="00721B2D" w:rsidRDefault="00721B2D" w:rsidP="00721B2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721B2D" w:rsidRPr="00EE1F90" w:rsidRDefault="00721B2D" w:rsidP="00721B2D">
      <w:pPr>
        <w:numPr>
          <w:ilvl w:val="1"/>
          <w:numId w:val="1"/>
        </w:numPr>
        <w:ind w:left="284" w:hanging="284"/>
        <w:contextualSpacing/>
        <w:jc w:val="center"/>
        <w:rPr>
          <w:rFonts w:ascii="Book Antiqua" w:hAnsi="Book Antiqua" w:cstheme="minorHAnsi"/>
          <w:b/>
          <w:sz w:val="26"/>
          <w:szCs w:val="26"/>
        </w:rPr>
      </w:pPr>
      <w:r w:rsidRPr="00EE1F90">
        <w:rPr>
          <w:rFonts w:ascii="Book Antiqua" w:hAnsi="Book Antiqua" w:cstheme="minorHAnsi"/>
          <w:b/>
          <w:sz w:val="26"/>
          <w:szCs w:val="26"/>
        </w:rPr>
        <w:lastRenderedPageBreak/>
        <w:t>f</w:t>
      </w:r>
      <w:bookmarkStart w:id="0" w:name="_GoBack"/>
      <w:bookmarkEnd w:id="0"/>
      <w:r w:rsidRPr="00EE1F90">
        <w:rPr>
          <w:rFonts w:ascii="Book Antiqua" w:hAnsi="Book Antiqua" w:cstheme="minorHAnsi"/>
          <w:b/>
          <w:sz w:val="26"/>
          <w:szCs w:val="26"/>
        </w:rPr>
        <w:t>üggelék</w:t>
      </w:r>
    </w:p>
    <w:p w:rsidR="00721B2D" w:rsidRPr="00EE1F90" w:rsidRDefault="00721B2D" w:rsidP="00721B2D">
      <w:pPr>
        <w:spacing w:after="0" w:line="300" w:lineRule="exact"/>
        <w:contextualSpacing/>
        <w:jc w:val="center"/>
        <w:rPr>
          <w:rFonts w:ascii="Book Antiqua" w:hAnsi="Book Antiqua" w:cstheme="minorHAnsi"/>
          <w:b/>
          <w:sz w:val="26"/>
          <w:szCs w:val="26"/>
        </w:rPr>
      </w:pPr>
      <w:proofErr w:type="gramStart"/>
      <w:r w:rsidRPr="00EE1F90">
        <w:rPr>
          <w:rFonts w:ascii="Book Antiqua" w:hAnsi="Book Antiqua" w:cstheme="minorHAnsi"/>
          <w:sz w:val="26"/>
          <w:szCs w:val="26"/>
        </w:rPr>
        <w:t>a</w:t>
      </w:r>
      <w:proofErr w:type="gramEnd"/>
      <w:r w:rsidRPr="00EE1F90">
        <w:rPr>
          <w:rFonts w:ascii="Book Antiqua" w:hAnsi="Book Antiqua" w:cstheme="minorHAnsi"/>
          <w:sz w:val="26"/>
          <w:szCs w:val="26"/>
        </w:rPr>
        <w:t xml:space="preserve"> 2</w:t>
      </w:r>
      <w:r w:rsidRPr="00EE1F90">
        <w:rPr>
          <w:rFonts w:ascii="Book Antiqua" w:hAnsi="Book Antiqua" w:cstheme="minorHAnsi"/>
          <w:sz w:val="26"/>
          <w:szCs w:val="26"/>
          <w:lang w:bidi="hu-HU"/>
        </w:rPr>
        <w:t xml:space="preserve"> /2019.(II.22.) önkormányzati rendelethez</w:t>
      </w:r>
    </w:p>
    <w:p w:rsidR="00721B2D" w:rsidRPr="00EE1F90" w:rsidRDefault="00721B2D" w:rsidP="00721B2D">
      <w:pPr>
        <w:pStyle w:val="Listaszerbekezds"/>
        <w:shd w:val="clear" w:color="auto" w:fill="FFFFFF"/>
        <w:spacing w:after="0" w:line="300" w:lineRule="exact"/>
        <w:ind w:left="0"/>
        <w:jc w:val="center"/>
        <w:outlineLvl w:val="0"/>
        <w:rPr>
          <w:rFonts w:ascii="Book Antiqua" w:eastAsia="Times New Roman" w:hAnsi="Book Antiqua" w:cstheme="minorHAnsi"/>
          <w:b/>
          <w:color w:val="000000"/>
          <w:kern w:val="36"/>
          <w:sz w:val="26"/>
          <w:szCs w:val="26"/>
          <w:u w:val="single"/>
          <w:lang w:eastAsia="hu-HU"/>
        </w:rPr>
      </w:pPr>
      <w:r w:rsidRPr="00EE1F90">
        <w:rPr>
          <w:rFonts w:ascii="Book Antiqua" w:eastAsia="Times New Roman" w:hAnsi="Book Antiqua" w:cstheme="minorHAnsi"/>
          <w:b/>
          <w:color w:val="000000"/>
          <w:kern w:val="36"/>
          <w:sz w:val="26"/>
          <w:szCs w:val="26"/>
          <w:u w:val="single"/>
          <w:lang w:eastAsia="hu-HU"/>
        </w:rPr>
        <w:t>Telepítésre nem javasolt, idegenhonos inváziós fajok jegyzéke</w:t>
      </w:r>
    </w:p>
    <w:p w:rsidR="00721B2D" w:rsidRPr="00767E78" w:rsidRDefault="00721B2D" w:rsidP="00721B2D">
      <w:pPr>
        <w:pStyle w:val="Listaszerbekezds"/>
        <w:shd w:val="clear" w:color="auto" w:fill="FFFFFF"/>
        <w:spacing w:after="0" w:line="300" w:lineRule="exact"/>
        <w:ind w:left="0"/>
        <w:jc w:val="center"/>
        <w:rPr>
          <w:rFonts w:eastAsia="Calibri" w:cstheme="minorHAnsi"/>
          <w:bCs/>
          <w:i/>
          <w:lang w:eastAsia="hu-HU"/>
        </w:rPr>
      </w:pPr>
      <w:r w:rsidRPr="00EE1F90">
        <w:rPr>
          <w:rFonts w:ascii="Book Antiqua" w:eastAsia="Calibri" w:hAnsi="Book Antiqua" w:cstheme="minorHAnsi"/>
          <w:bCs/>
          <w:i/>
          <w:sz w:val="26"/>
          <w:szCs w:val="26"/>
          <w:lang w:eastAsia="hu-HU"/>
        </w:rPr>
        <w:t>A Duna-Dráva Nemzeti Park Igazgatóság adatszolgáltatása alapján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5"/>
        <w:gridCol w:w="3845"/>
      </w:tblGrid>
      <w:tr w:rsidR="00721B2D" w:rsidRPr="009D7EC7" w:rsidTr="006F6079">
        <w:trPr>
          <w:trHeight w:val="1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20"/>
                <w:szCs w:val="18"/>
                <w:lang w:eastAsia="hu-HU"/>
              </w:rPr>
              <w:t>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b/>
                <w:bCs/>
                <w:color w:val="000000"/>
                <w:sz w:val="21"/>
                <w:szCs w:val="21"/>
                <w:lang w:eastAsia="hu-HU"/>
              </w:rPr>
              <w:t>Magyar név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b/>
                <w:bCs/>
                <w:color w:val="000000"/>
                <w:sz w:val="21"/>
                <w:szCs w:val="21"/>
                <w:lang w:eastAsia="hu-HU"/>
              </w:rPr>
              <w:t>Tudományos név</w:t>
            </w:r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fehér akác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Robinia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pseudoacacia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mirigyes bálványfa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Ailanthus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altissima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keskenylevelű ezüstfa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Elaeagnus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angustifolia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zöld juhar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Acer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negundo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amerikai kőris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Fraxinus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americana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kései meggy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Prunus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serotina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kanadai nyár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Populus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nyugati ostorfa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Celtis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occidentalis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cserjés gyalogakác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Amorpha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fruticosa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kisvirágú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Impatiens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parviflora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bíbor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Impatiens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grandiflora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japánkeserűfű-fajok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Fallopia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spp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.</w:t>
            </w:r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magas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Solidago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gigantea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kanadai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Solidago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15.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közönséges selyemkóró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Solidago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16.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ürömlevelű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parlagfű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Ambrosia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artemisiiflora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17.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arany ribiszke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Ribes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aureum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18.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adventív 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Vitis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-hibridek </w:t>
            </w:r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19.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vadszőlőfajok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Parthenocissus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spp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. </w:t>
            </w:r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20.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süntök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Echinocystis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lobata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21.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észak-amerikai őszirózsák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Aster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spp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. </w:t>
            </w:r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22.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magas kúpvirág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Rudbeckia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laciniata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23.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vadcsicsóka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Helianthus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tuberosus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s. l.</w:t>
            </w:r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24.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olasz szerbtövis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Xanthium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strumaium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subsp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. italicum</w:t>
            </w:r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25.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amerikai karmazsinbogyó/amerikai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Phytholacca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americana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26.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kínai karmazsinbogyó/kínai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Phytholacca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esculenta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27.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japán komló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Humulus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japonicus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28.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átoktüske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Cenchrus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incertus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29.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nem hazai tündérrózsa 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30.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kanadai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Elodea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31.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aprólevelű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átokhínár/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vékonylevelű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Elodea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nuttallii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32.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moszatpáfrányfajok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Azolla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mexicana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Azolla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filiculoides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33.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borfa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/ tengerparti seprűcserje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Baccharis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halimifolia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34.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karolinai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tündérhínár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Cabomba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caroliniana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35.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közönséges vízijácint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Eichhornia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crassipes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36.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perzsa 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Heracleum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persicum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37.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kaukázusi medvetalp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Heracleum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mantegazzianum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38.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Szosznovszkij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-medvetalp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Heracleum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sosnowskyi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39.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hévízi gázló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Hydrocotyle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ranunculoides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40.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nagy fodros-átokhínár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Lagarosiphon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major</w:t>
            </w:r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41.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nagyvirágú tóalma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Ludwigia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grandiflora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42.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sárgavirágú tóalma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Ludwigia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peploides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43.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sárga lápbuzogány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Lysichiton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americanus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44.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közönséges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Myriophyllum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aquaticum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45.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felemáslevelű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Myriophyllum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heterophyllum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46.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keserű hamisüröm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Parthenium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hysterophorus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47.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ördögfarok keserűfű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Persicaria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perfoliata</w:t>
            </w:r>
            <w:proofErr w:type="spellEnd"/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48.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kudzu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nyílgyökér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Pueraria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montana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49.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aligátorfű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Alternanthera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philoxeroides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50.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óriásrebarbara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Gunnera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tinctoria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51.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tollborzfű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Pennisetum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setaceum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721B2D" w:rsidRPr="009D7EC7" w:rsidTr="006F607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52.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2D" w:rsidRPr="00AF2C8D" w:rsidRDefault="00721B2D" w:rsidP="006F607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Alternanthera</w:t>
            </w:r>
            <w:proofErr w:type="spellEnd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F2C8D">
              <w:rPr>
                <w:rFonts w:ascii="Book Antiqua" w:eastAsia="Times New Roman" w:hAnsi="Book Antiqua" w:cs="Calibri"/>
                <w:color w:val="000000"/>
                <w:sz w:val="18"/>
                <w:szCs w:val="18"/>
                <w:lang w:eastAsia="hu-HU"/>
              </w:rPr>
              <w:t>philoxeroides</w:t>
            </w:r>
            <w:proofErr w:type="spellEnd"/>
          </w:p>
        </w:tc>
      </w:tr>
    </w:tbl>
    <w:p w:rsidR="00721B2D" w:rsidRPr="003E538E" w:rsidRDefault="00721B2D" w:rsidP="00721B2D">
      <w:pPr>
        <w:contextualSpacing/>
        <w:rPr>
          <w:rFonts w:cstheme="minorHAnsi"/>
          <w:b/>
        </w:rPr>
      </w:pPr>
    </w:p>
    <w:p w:rsidR="00126803" w:rsidRDefault="00126803"/>
    <w:sectPr w:rsidR="00126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2D"/>
    <w:rsid w:val="00126803"/>
    <w:rsid w:val="0072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9385C-08E5-4DCD-86AC-248E1956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1B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21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forsterkozpont.hu/lel&#337;hely?azon=589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forsterkozpont.hu/lel&#337;hely?azon=236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forsterkozpont.hu/lel&#337;hely?azon=2361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forsterkozpont.hu/lel&#337;hely?azon=8918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416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2019-02-28T10:55:00Z</dcterms:created>
  <dcterms:modified xsi:type="dcterms:W3CDTF">2019-02-28T10:56:00Z</dcterms:modified>
</cp:coreProperties>
</file>