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0B" w:rsidRPr="00355521" w:rsidRDefault="0030750B" w:rsidP="0030750B">
      <w:pPr>
        <w:rPr>
          <w:b/>
        </w:rPr>
      </w:pPr>
      <w:r w:rsidRPr="0012612F">
        <w:rPr>
          <w:b/>
        </w:rPr>
        <w:t>Mellékletek:</w:t>
      </w:r>
    </w:p>
    <w:p w:rsidR="0030750B" w:rsidRPr="00355521" w:rsidRDefault="0030750B" w:rsidP="0030750B">
      <w:pPr>
        <w:rPr>
          <w:b/>
        </w:rPr>
      </w:pPr>
    </w:p>
    <w:p w:rsidR="0030750B" w:rsidRPr="00355521" w:rsidRDefault="0030750B" w:rsidP="0030750B">
      <w:pPr>
        <w:jc w:val="right"/>
        <w:rPr>
          <w:b/>
        </w:rPr>
      </w:pPr>
    </w:p>
    <w:p w:rsidR="0030750B" w:rsidRPr="00355521" w:rsidRDefault="0030750B" w:rsidP="0030750B">
      <w:pPr>
        <w:jc w:val="right"/>
      </w:pPr>
      <w:r w:rsidRPr="00355521">
        <w:t>1</w:t>
      </w:r>
      <w:proofErr w:type="gramStart"/>
      <w:r w:rsidRPr="00355521">
        <w:t>.  melléklet</w:t>
      </w:r>
      <w:proofErr w:type="gramEnd"/>
      <w:r w:rsidRPr="00355521">
        <w:t xml:space="preserve"> a </w:t>
      </w:r>
      <w:r>
        <w:t>29</w:t>
      </w:r>
      <w:r w:rsidRPr="00355521">
        <w:t>./2015 (</w:t>
      </w:r>
      <w:r>
        <w:t>XII.14.</w:t>
      </w:r>
      <w:r w:rsidRPr="00355521">
        <w:t>) önkormányzati rendelethez</w:t>
      </w:r>
    </w:p>
    <w:p w:rsidR="0030750B" w:rsidRPr="00355521" w:rsidRDefault="0030750B" w:rsidP="0030750B">
      <w:pPr>
        <w:pStyle w:val="Lista3"/>
        <w:spacing w:after="0" w:line="240" w:lineRule="auto"/>
        <w:contextualSpacing w:val="0"/>
        <w:jc w:val="center"/>
        <w:rPr>
          <w:rFonts w:ascii="Times New Roman" w:hAnsi="Times New Roman"/>
          <w:szCs w:val="24"/>
        </w:rPr>
      </w:pPr>
    </w:p>
    <w:p w:rsidR="0030750B" w:rsidRPr="00932744" w:rsidRDefault="0030750B" w:rsidP="0030750B">
      <w:pPr>
        <w:pStyle w:val="Lista3"/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Fogalmak a rendelet alkalmazása tekintetében:</w:t>
      </w:r>
    </w:p>
    <w:p w:rsidR="0030750B" w:rsidRPr="00932744" w:rsidRDefault="0030750B" w:rsidP="0030750B">
      <w:pPr>
        <w:pStyle w:val="Lista3"/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Állatkifutó: Az állatoknak mozgási lehetőséget adó bekerített terület az állattartó építmény előtt az építési helyen belül, amely általában 2x2 m-nél nem nagyobb. </w:t>
      </w:r>
    </w:p>
    <w:p w:rsidR="0030750B" w:rsidRPr="00932744" w:rsidRDefault="0030750B" w:rsidP="0030750B">
      <w:pPr>
        <w:pStyle w:val="Lista3"/>
        <w:spacing w:after="0" w:line="240" w:lineRule="auto"/>
        <w:ind w:left="426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30750B">
      <w:pPr>
        <w:pStyle w:val="Lista3"/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3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 xml:space="preserve">Beépítésre nem szánt terület: A település közigazgatási területének az a része, ahol a beépítettséget rögzítő övezeti előírás legfeljebb 2 % beépítettséget enged meg. </w:t>
      </w:r>
    </w:p>
    <w:p w:rsidR="0030750B" w:rsidRPr="00932744" w:rsidRDefault="0030750B" w:rsidP="0030750B">
      <w:pPr>
        <w:pStyle w:val="Lista3"/>
        <w:spacing w:after="0" w:line="240" w:lineRule="auto"/>
        <w:ind w:left="426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3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Belváros: a belváros területe a Wesselényi utca –Új utca– Galamb utca – Damjanich utca – Rákóczi utca – Tompa utca – Bartók Béla utca – Ady Endre utca – Kossuth Lajos utca – Dózsa György utca – Kinizsi utca által határolt terület</w:t>
      </w:r>
    </w:p>
    <w:p w:rsidR="0030750B" w:rsidRPr="00932744" w:rsidRDefault="0030750B" w:rsidP="0030750B">
      <w:pPr>
        <w:pStyle w:val="Lista3"/>
        <w:spacing w:after="0" w:line="240" w:lineRule="auto"/>
        <w:ind w:left="426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Építési övezet:</w:t>
      </w:r>
    </w:p>
    <w:p w:rsidR="0030750B" w:rsidRPr="00932744" w:rsidRDefault="0030750B" w:rsidP="0030750B">
      <w:pPr>
        <w:pStyle w:val="Lista3"/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 xml:space="preserve">Az OTÉK fogalom-meghatározása szerint a beépítésre szánt területek terület-felhasználási egységein belüli egyes területrészeken a felhasználás és az építés feltételeit és módját meghatározó besorolás. </w:t>
      </w:r>
    </w:p>
    <w:p w:rsidR="0030750B" w:rsidRPr="00932744" w:rsidRDefault="0030750B" w:rsidP="0030750B">
      <w:pPr>
        <w:pStyle w:val="Lista3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Az építménymagasság megállapítása során:</w:t>
      </w:r>
    </w:p>
    <w:p w:rsidR="0030750B" w:rsidRPr="00932744" w:rsidRDefault="0030750B" w:rsidP="002111FD">
      <w:pPr>
        <w:pStyle w:val="Lista3"/>
        <w:numPr>
          <w:ilvl w:val="0"/>
          <w:numId w:val="95"/>
        </w:numPr>
        <w:tabs>
          <w:tab w:val="clear" w:pos="1413"/>
          <w:tab w:val="num" w:pos="709"/>
        </w:tabs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az egyes homlokzati vetületi-felületeket az adott felületi síknak és a legfelső teljes építményszint záró szerkezetének felső síkjának metszésvonala vagy érintővonala és a síknak a rendezett tereppel való metszésvonala közötti magassággal kell megállapítani, legfeljebb 6,0 m magasságú két oromfal kivételével.</w:t>
      </w:r>
    </w:p>
    <w:p w:rsidR="0030750B" w:rsidRPr="00932744" w:rsidRDefault="0030750B" w:rsidP="002111FD">
      <w:pPr>
        <w:pStyle w:val="Lista3"/>
        <w:numPr>
          <w:ilvl w:val="0"/>
          <w:numId w:val="95"/>
        </w:numPr>
        <w:tabs>
          <w:tab w:val="clear" w:pos="1413"/>
          <w:tab w:val="num" w:pos="709"/>
        </w:tabs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Cs w:val="24"/>
        </w:rPr>
      </w:pPr>
      <w:proofErr w:type="gramStart"/>
      <w:r w:rsidRPr="00932744">
        <w:rPr>
          <w:rFonts w:ascii="Times New Roman" w:hAnsi="Times New Roman"/>
          <w:szCs w:val="24"/>
        </w:rPr>
        <w:t>az egyes homlokzatfelületekhez hozzá kell számítani – a kémény, a tetőszerelvények, a 0,5 m2-t meg nem haladó felületű reklámhordozók kivételével – mindazoknak az építményrészeknek (</w:t>
      </w:r>
      <w:proofErr w:type="spellStart"/>
      <w:r w:rsidRPr="00932744">
        <w:rPr>
          <w:rFonts w:ascii="Times New Roman" w:hAnsi="Times New Roman"/>
          <w:szCs w:val="24"/>
        </w:rPr>
        <w:t>attikafal</w:t>
      </w:r>
      <w:proofErr w:type="spellEnd"/>
      <w:r w:rsidRPr="00932744">
        <w:rPr>
          <w:rFonts w:ascii="Times New Roman" w:hAnsi="Times New Roman"/>
          <w:szCs w:val="24"/>
        </w:rPr>
        <w:t>, torony, kupola, tető, tetőrész vagy egyéb építményrész) a felületét, amelyek az a) pont szerinti metszésvonalra vagy érintővonalra az építmény irányában legfeljebb 6 m magasságig emelkedő 45 fok alatt vont sík fölé emelkednek, ezen épületrészeknek az illető homlokzat felületi síkjára ugyancsak 45 fok alatt vont – az előzővel párhuzamos – síkkal történő vetítéssel meghatározott magasságával,</w:t>
      </w:r>
      <w:proofErr w:type="gramEnd"/>
    </w:p>
    <w:p w:rsidR="0030750B" w:rsidRPr="00932744" w:rsidRDefault="0030750B" w:rsidP="002111FD">
      <w:pPr>
        <w:pStyle w:val="Lista3"/>
        <w:numPr>
          <w:ilvl w:val="0"/>
          <w:numId w:val="95"/>
        </w:numPr>
        <w:tabs>
          <w:tab w:val="clear" w:pos="1413"/>
          <w:tab w:val="num" w:pos="709"/>
        </w:tabs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a négy oldalról körülhatárolt légakna, légudvar, belső udvar homlokzatfelületeit, valamint a loggiák belső oldalfelületeit és azok vízszintesen mért hosszait figyelmen kívül kell hagyni.</w:t>
      </w:r>
    </w:p>
    <w:p w:rsidR="0030750B" w:rsidRPr="00932744" w:rsidRDefault="0030750B" w:rsidP="002111FD">
      <w:pPr>
        <w:pStyle w:val="Lista3"/>
        <w:numPr>
          <w:ilvl w:val="0"/>
          <w:numId w:val="95"/>
        </w:numPr>
        <w:tabs>
          <w:tab w:val="clear" w:pos="1413"/>
          <w:tab w:val="num" w:pos="709"/>
        </w:tabs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az egy telken álló több épület magasságát külön-külön kell figyelembe venni.</w:t>
      </w:r>
    </w:p>
    <w:p w:rsidR="0030750B" w:rsidRPr="00932744" w:rsidRDefault="0030750B" w:rsidP="0030750B">
      <w:pPr>
        <w:pStyle w:val="Lista3"/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Belváros: a belváros területe a Wesselényi utca – Új utca – Galamb utca – Damjanich utca – Rákóczi utca – Tompa utca – Bartók Béla utca – Ady Endre utca – Kossuth Lajos utca – Dózsa György utca – Kinizsi utca által határolt terület</w:t>
      </w:r>
    </w:p>
    <w:p w:rsidR="0030750B" w:rsidRPr="00932744" w:rsidRDefault="0030750B" w:rsidP="0030750B">
      <w:pPr>
        <w:pStyle w:val="Lista3"/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Építményszint: az építménynek mindazon járószintje (pl. pinceszint, alagsori, </w:t>
      </w:r>
      <w:r w:rsidRPr="00932744">
        <w:rPr>
          <w:rFonts w:ascii="Times New Roman" w:hAnsi="Times New Roman"/>
          <w:sz w:val="24"/>
          <w:szCs w:val="24"/>
        </w:rPr>
        <w:br/>
        <w:t>földszinti, emeletszinti) amelyen meghatározott rendeltetés céljára helyiség, helyiségcsoport van vagy létesül.</w:t>
      </w:r>
    </w:p>
    <w:p w:rsidR="0030750B" w:rsidRPr="00932744" w:rsidRDefault="0030750B" w:rsidP="0030750B">
      <w:pPr>
        <w:pStyle w:val="Lista3"/>
        <w:spacing w:after="0" w:line="240" w:lineRule="auto"/>
        <w:contextualSpacing w:val="0"/>
        <w:jc w:val="both"/>
        <w:rPr>
          <w:rFonts w:ascii="Times New Roman" w:hAnsi="Times New Roman"/>
          <w:b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Építmény-szintterület:</w:t>
      </w:r>
    </w:p>
    <w:p w:rsidR="0030750B" w:rsidRPr="00932744" w:rsidRDefault="0030750B" w:rsidP="0030750B">
      <w:pPr>
        <w:ind w:left="1416"/>
        <w:jc w:val="both"/>
        <w:rPr>
          <w:sz w:val="24"/>
          <w:szCs w:val="24"/>
        </w:rPr>
      </w:pPr>
      <w:proofErr w:type="gramStart"/>
      <w:r w:rsidRPr="00932744">
        <w:rPr>
          <w:sz w:val="24"/>
          <w:szCs w:val="24"/>
        </w:rPr>
        <w:t>nettó</w:t>
      </w:r>
      <w:proofErr w:type="gramEnd"/>
      <w:r w:rsidRPr="00932744">
        <w:rPr>
          <w:sz w:val="24"/>
          <w:szCs w:val="24"/>
        </w:rPr>
        <w:t>: egy építményszint valamennyi helyiségének összes alapterülete</w:t>
      </w:r>
    </w:p>
    <w:p w:rsidR="0030750B" w:rsidRPr="00932744" w:rsidRDefault="0030750B" w:rsidP="0030750B">
      <w:pPr>
        <w:ind w:left="1416"/>
        <w:jc w:val="both"/>
        <w:rPr>
          <w:sz w:val="24"/>
          <w:szCs w:val="24"/>
        </w:rPr>
      </w:pPr>
      <w:proofErr w:type="gramStart"/>
      <w:r w:rsidRPr="00932744">
        <w:rPr>
          <w:sz w:val="24"/>
          <w:szCs w:val="24"/>
        </w:rPr>
        <w:lastRenderedPageBreak/>
        <w:t>bruttó</w:t>
      </w:r>
      <w:proofErr w:type="gramEnd"/>
      <w:r w:rsidRPr="00932744">
        <w:rPr>
          <w:sz w:val="24"/>
          <w:szCs w:val="24"/>
        </w:rPr>
        <w:t>: egy építményszint külső falsíkok által határolt területe</w:t>
      </w:r>
    </w:p>
    <w:p w:rsidR="0030750B" w:rsidRPr="00932744" w:rsidRDefault="0030750B" w:rsidP="0030750B">
      <w:pPr>
        <w:ind w:left="1416"/>
        <w:jc w:val="both"/>
        <w:rPr>
          <w:sz w:val="24"/>
          <w:szCs w:val="24"/>
        </w:rPr>
      </w:pPr>
      <w:proofErr w:type="gramStart"/>
      <w:r w:rsidRPr="00932744">
        <w:rPr>
          <w:sz w:val="24"/>
          <w:szCs w:val="24"/>
        </w:rPr>
        <w:t>összes</w:t>
      </w:r>
      <w:proofErr w:type="gramEnd"/>
      <w:r w:rsidRPr="00932744">
        <w:rPr>
          <w:sz w:val="24"/>
          <w:szCs w:val="24"/>
        </w:rPr>
        <w:t>: valamennyi építményszint alapterületének összege. Az összes építmény szintterület egyaránt lehet nettó vagy bruttó.</w:t>
      </w:r>
    </w:p>
    <w:p w:rsidR="0030750B" w:rsidRPr="00932744" w:rsidRDefault="0030750B" w:rsidP="0030750B">
      <w:pPr>
        <w:pStyle w:val="Lista3"/>
        <w:spacing w:after="0" w:line="240" w:lineRule="auto"/>
        <w:ind w:left="708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Épület: olyan építmény, amely szerkezeteivel részben vagy egészben teret, helyiséget, vagy ezek együttesét zárja körül meghatározott rendeltetés céljából a gáz, a folyadék és az egyéb ömlesztett anyag tárolására és szállítására szolgáló műszaki alkotások (műtárgyak) kivételével.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Értékvédelmi terület: Az értékvédelemmel kapcsolatos előírások homogén területei. Típusai a szerint különböztethetők meg, hogy</w:t>
      </w:r>
    </w:p>
    <w:p w:rsidR="0030750B" w:rsidRPr="00932744" w:rsidRDefault="0030750B" w:rsidP="002111FD">
      <w:pPr>
        <w:pStyle w:val="Listaszerbekezds"/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 települési értékvédelemre, vagy</w:t>
      </w:r>
    </w:p>
    <w:p w:rsidR="0030750B" w:rsidRPr="00932744" w:rsidRDefault="0030750B" w:rsidP="002111FD">
      <w:pPr>
        <w:pStyle w:val="Listaszerbekezds"/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 táj- és természetvédelemre vonatkozik</w:t>
      </w:r>
    </w:p>
    <w:p w:rsidR="0030750B" w:rsidRPr="00932744" w:rsidRDefault="0030750B" w:rsidP="0030750B">
      <w:pPr>
        <w:pStyle w:val="Lista3"/>
        <w:spacing w:after="0" w:line="240" w:lineRule="auto"/>
        <w:ind w:left="708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Hátsókert: az építési telek hátsó telekhatára és az építési hely, továbbá az oldalkert hátsó telekhatárra néző határvonala közötti telekrész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Helyi jelentőségű természetvédelmi terület:</w:t>
      </w:r>
    </w:p>
    <w:p w:rsidR="0030750B" w:rsidRPr="00932744" w:rsidRDefault="0030750B" w:rsidP="0030750B">
      <w:pPr>
        <w:pStyle w:val="Lista3"/>
        <w:spacing w:after="0" w:line="240" w:lineRule="auto"/>
        <w:ind w:left="284" w:hanging="1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A természeti értékek helyi védelméről szóló rendeletben használt helyi védelmi kategória, amely szerint</w:t>
      </w:r>
    </w:p>
    <w:p w:rsidR="0030750B" w:rsidRPr="00932744" w:rsidRDefault="0030750B" w:rsidP="002111FD">
      <w:pPr>
        <w:pStyle w:val="Listaszerbekezds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fa, facsoport, erdő kivágása vagy ültetése</w:t>
      </w:r>
    </w:p>
    <w:p w:rsidR="0030750B" w:rsidRPr="00932744" w:rsidRDefault="0030750B" w:rsidP="002111FD">
      <w:pPr>
        <w:pStyle w:val="Listaszerbekezds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kutatás,</w:t>
      </w:r>
    </w:p>
    <w:p w:rsidR="0030750B" w:rsidRPr="00932744" w:rsidRDefault="0030750B" w:rsidP="002111FD">
      <w:pPr>
        <w:pStyle w:val="Listaszerbekezds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gyep feltörése és felújítása</w:t>
      </w:r>
    </w:p>
    <w:p w:rsidR="0030750B" w:rsidRPr="00932744" w:rsidRDefault="0030750B" w:rsidP="002111FD">
      <w:pPr>
        <w:pStyle w:val="Listaszerbekezds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nád és más növényzet égetése</w:t>
      </w:r>
    </w:p>
    <w:p w:rsidR="0030750B" w:rsidRPr="00932744" w:rsidRDefault="0030750B" w:rsidP="002111FD">
      <w:pPr>
        <w:pStyle w:val="Listaszerbekezds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az erdőről és az erdő védelméről szóló törvény hatálya alá tartozó fa, facsoport, fás legelőn levő fa kivágása, telepítése</w:t>
      </w:r>
    </w:p>
    <w:p w:rsidR="0030750B" w:rsidRPr="00932744" w:rsidRDefault="0030750B" w:rsidP="002111FD">
      <w:pPr>
        <w:pStyle w:val="Listaszerbekezds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bármilyen építési tevékenység</w:t>
      </w:r>
    </w:p>
    <w:p w:rsidR="0030750B" w:rsidRPr="00932744" w:rsidRDefault="0030750B" w:rsidP="002111FD">
      <w:pPr>
        <w:pStyle w:val="Listaszerbekezds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művelési ág megváltoztatása, valamint</w:t>
      </w:r>
    </w:p>
    <w:p w:rsidR="0030750B" w:rsidRPr="00932744" w:rsidRDefault="0030750B" w:rsidP="002111FD">
      <w:pPr>
        <w:pStyle w:val="Listaszerbekezds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természetvédelmi cél károsan befolyásoló bármely tevékenység csak jegyző hozzájárulásával történhet.</w:t>
      </w:r>
    </w:p>
    <w:p w:rsidR="0030750B" w:rsidRPr="00355521" w:rsidRDefault="0030750B" w:rsidP="0030750B">
      <w:pPr>
        <w:pStyle w:val="Lista3"/>
        <w:spacing w:after="0" w:line="240" w:lineRule="auto"/>
        <w:ind w:left="708"/>
        <w:contextualSpacing w:val="0"/>
        <w:jc w:val="both"/>
        <w:rPr>
          <w:rFonts w:ascii="Times New Roman" w:hAnsi="Times New Roman"/>
          <w:szCs w:val="24"/>
        </w:rPr>
      </w:pPr>
    </w:p>
    <w:p w:rsidR="0030750B" w:rsidRPr="00355521" w:rsidRDefault="0030750B" w:rsidP="0030750B">
      <w:pPr>
        <w:pStyle w:val="Lista3"/>
        <w:spacing w:after="0" w:line="240" w:lineRule="auto"/>
        <w:ind w:left="142" w:hanging="65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>A helyi jelentőségű természetvédelmi területen csak honos fafajok telepíthetők. Védett fasorban lévő fa, továbbá egyedi védelem alatt álló fa kivágása, csonkolása, 10 m-es körzetben energiavezetékek vezetése, árkolása a Polgármesteri Hivatal engedélyével történhet.</w:t>
      </w:r>
    </w:p>
    <w:p w:rsidR="0030750B" w:rsidRPr="00355521" w:rsidRDefault="0030750B" w:rsidP="0030750B">
      <w:pPr>
        <w:pStyle w:val="Lista3"/>
        <w:spacing w:after="0" w:line="240" w:lineRule="auto"/>
        <w:ind w:left="708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Homlokvonal: a telek közterülettel érintkező határvonala</w:t>
      </w:r>
    </w:p>
    <w:p w:rsidR="0030750B" w:rsidRPr="00932744" w:rsidRDefault="0030750B" w:rsidP="0030750B">
      <w:pPr>
        <w:pStyle w:val="Lista3"/>
        <w:spacing w:after="0" w:line="240" w:lineRule="auto"/>
        <w:ind w:left="708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Hulladékudvar: a hulladékkezelés, - elszállítás számára kialakított terület, ahová a lakosság a feleslegessé vált háztartási eszközeit, tárgyait szelektív módon elhelyezheti, és ahonnan rendszeres időközönként elszállítják azokat. A hulladékudvart üzemeltetőknek szervezett módon gondoskodniuk kell a környezetvédelmi, egészségügyi szempontok maradéktalan betartásáról.</w:t>
      </w:r>
    </w:p>
    <w:p w:rsidR="0030750B" w:rsidRPr="00932744" w:rsidRDefault="0030750B" w:rsidP="0030750B">
      <w:pPr>
        <w:pStyle w:val="Listaszerbekezds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Ikres beépítési mód: olyan beépítési mód, ahol újonnan építmény csak ikres építési helyen belül helyezhető el. Az ikres építési hely a telken belül úgy helyezkedik el, hogy az:</w:t>
      </w:r>
    </w:p>
    <w:p w:rsidR="0030750B" w:rsidRPr="00932744" w:rsidRDefault="0030750B" w:rsidP="002111FD">
      <w:pPr>
        <w:pStyle w:val="Listaszerbekezds"/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vagy elő- és hátsókerttel, valamint egy oldalról oldalkerttel,</w:t>
      </w:r>
    </w:p>
    <w:p w:rsidR="0030750B" w:rsidRPr="00932744" w:rsidRDefault="0030750B" w:rsidP="002111FD">
      <w:pPr>
        <w:pStyle w:val="Listaszerbekezds"/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lastRenderedPageBreak/>
        <w:t>vagy hátsókerttel és egy oldalról oldalkerttel határos és a szomszédos telkek építési helye az egyik oldalhatáron érintkezik egymással.</w:t>
      </w:r>
    </w:p>
    <w:p w:rsidR="0030750B" w:rsidRPr="00932744" w:rsidRDefault="0030750B" w:rsidP="0030750B">
      <w:pPr>
        <w:pStyle w:val="Listaszerbekezds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Kialakult szabályozási kategóriájú terület: az építési övezetek csoportosításánál használt fogalom. Ez olyan </w:t>
      </w:r>
      <w:proofErr w:type="gramStart"/>
      <w:r w:rsidRPr="00932744">
        <w:rPr>
          <w:rFonts w:ascii="Times New Roman" w:hAnsi="Times New Roman"/>
          <w:sz w:val="24"/>
          <w:szCs w:val="24"/>
        </w:rPr>
        <w:t>építési  övezet</w:t>
      </w:r>
      <w:proofErr w:type="gramEnd"/>
      <w:r w:rsidRPr="00932744">
        <w:rPr>
          <w:rFonts w:ascii="Times New Roman" w:hAnsi="Times New Roman"/>
          <w:sz w:val="24"/>
          <w:szCs w:val="24"/>
        </w:rPr>
        <w:t xml:space="preserve">, amelynek építészeti karaktere pozitív módon kialakult és az ahhoz történő további </w:t>
      </w:r>
      <w:proofErr w:type="spellStart"/>
      <w:r w:rsidRPr="00932744">
        <w:rPr>
          <w:rFonts w:ascii="Times New Roman" w:hAnsi="Times New Roman"/>
          <w:sz w:val="24"/>
          <w:szCs w:val="24"/>
        </w:rPr>
        <w:t>igazodáskövetelménye</w:t>
      </w:r>
      <w:proofErr w:type="spellEnd"/>
      <w:r w:rsidRPr="00932744">
        <w:rPr>
          <w:rFonts w:ascii="Times New Roman" w:hAnsi="Times New Roman"/>
          <w:sz w:val="24"/>
          <w:szCs w:val="24"/>
        </w:rPr>
        <w:t>, mint építés előírás, elfogadható. Ilyen helyen a normatív építési szabályozás kevesebb elemet tartalmaz, mint a nem kialakult területen.</w:t>
      </w:r>
    </w:p>
    <w:p w:rsidR="0030750B" w:rsidRPr="00736AEE" w:rsidRDefault="0030750B" w:rsidP="0030750B">
      <w:pPr>
        <w:pStyle w:val="Listaszerbekezds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30750B" w:rsidRPr="00355521" w:rsidRDefault="0030750B" w:rsidP="002111FD">
      <w:pPr>
        <w:pStyle w:val="Lista3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 xml:space="preserve">Kivételesen elhelyezhető építmények: a rendeltetési zónákban használt fogalom. Az OTÉK 31. § (2) bekezdése határozza meg a kivételes elhelyezés kritériumait. E szerint a kivételesen elhelyezhető építmények csak akkor helyezhetők el, ha azok az adott területre vonatkozó építési övezeti, </w:t>
      </w:r>
      <w:proofErr w:type="spellStart"/>
      <w:r w:rsidRPr="00355521">
        <w:rPr>
          <w:rFonts w:ascii="Times New Roman" w:hAnsi="Times New Roman"/>
          <w:szCs w:val="24"/>
        </w:rPr>
        <w:t>övezeti</w:t>
      </w:r>
      <w:proofErr w:type="spellEnd"/>
      <w:r w:rsidRPr="00355521">
        <w:rPr>
          <w:rFonts w:ascii="Times New Roman" w:hAnsi="Times New Roman"/>
          <w:szCs w:val="24"/>
        </w:rPr>
        <w:t xml:space="preserve"> előírásoknak, továbbá a rendeletetés szerinti külön hatósági előírásoknak megfelelnek, valamint a más rendeltetési használatból eredő sajátos hatások nem korlátozzák a szomszédos telek építési övezeti, </w:t>
      </w:r>
      <w:proofErr w:type="spellStart"/>
      <w:r w:rsidRPr="00355521">
        <w:rPr>
          <w:rFonts w:ascii="Times New Roman" w:hAnsi="Times New Roman"/>
          <w:szCs w:val="24"/>
        </w:rPr>
        <w:t>övezeti</w:t>
      </w:r>
      <w:proofErr w:type="spellEnd"/>
      <w:r w:rsidRPr="00355521">
        <w:rPr>
          <w:rFonts w:ascii="Times New Roman" w:hAnsi="Times New Roman"/>
          <w:szCs w:val="24"/>
        </w:rPr>
        <w:t xml:space="preserve"> előírások szerinti beépítését, használatát.</w:t>
      </w:r>
    </w:p>
    <w:p w:rsidR="0030750B" w:rsidRPr="00355521" w:rsidRDefault="0030750B" w:rsidP="0030750B">
      <w:pPr>
        <w:jc w:val="both"/>
      </w:pPr>
    </w:p>
    <w:p w:rsidR="0030750B" w:rsidRPr="00736AEE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36AEE">
        <w:rPr>
          <w:rFonts w:ascii="Times New Roman" w:hAnsi="Times New Roman"/>
          <w:sz w:val="24"/>
          <w:szCs w:val="24"/>
        </w:rPr>
        <w:t>Közlekedési célú közterület: az a közterület, amely általában a közlekedés célját szolgálja (gépkocsi-, kerékpáros-, gyalogos közlekedés).</w:t>
      </w:r>
    </w:p>
    <w:p w:rsidR="0030750B" w:rsidRPr="00736AEE" w:rsidRDefault="0030750B" w:rsidP="0030750B">
      <w:pPr>
        <w:pStyle w:val="Listaszerbekezds"/>
        <w:rPr>
          <w:rFonts w:ascii="Times New Roman" w:hAnsi="Times New Roman"/>
          <w:sz w:val="24"/>
          <w:szCs w:val="24"/>
        </w:rPr>
      </w:pPr>
    </w:p>
    <w:p w:rsidR="0030750B" w:rsidRPr="00355521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355521">
        <w:rPr>
          <w:rFonts w:ascii="Times New Roman" w:hAnsi="Times New Roman"/>
          <w:szCs w:val="24"/>
        </w:rPr>
        <w:t>Közművesítés, részleges:</w:t>
      </w:r>
    </w:p>
    <w:p w:rsidR="0030750B" w:rsidRPr="00355521" w:rsidRDefault="0030750B" w:rsidP="0030750B">
      <w:pPr>
        <w:pStyle w:val="Lista3"/>
        <w:tabs>
          <w:tab w:val="left" w:pos="36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ab/>
        <w:t xml:space="preserve">   ha legalább</w:t>
      </w:r>
    </w:p>
    <w:p w:rsidR="0030750B" w:rsidRPr="00355521" w:rsidRDefault="0030750B" w:rsidP="0030750B">
      <w:pPr>
        <w:pStyle w:val="Lista3"/>
        <w:tabs>
          <w:tab w:val="left" w:pos="900"/>
        </w:tabs>
        <w:spacing w:after="0" w:line="240" w:lineRule="auto"/>
        <w:ind w:left="708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>- közműves villamosenergia-szolgáltatás,</w:t>
      </w:r>
    </w:p>
    <w:p w:rsidR="0030750B" w:rsidRPr="00355521" w:rsidRDefault="0030750B" w:rsidP="0030750B">
      <w:pPr>
        <w:pStyle w:val="Lista3"/>
        <w:tabs>
          <w:tab w:val="left" w:pos="900"/>
        </w:tabs>
        <w:spacing w:after="0" w:line="240" w:lineRule="auto"/>
        <w:ind w:left="708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>- a korszerű közműpótlóval (az illetékes szakhatóságok által elfogadott megoldással) történő szennyvíztisztítás és szennyvízelvezetés, továbbá</w:t>
      </w:r>
    </w:p>
    <w:p w:rsidR="0030750B" w:rsidRPr="00355521" w:rsidRDefault="0030750B" w:rsidP="0030750B">
      <w:pPr>
        <w:pStyle w:val="Lista3"/>
        <w:tabs>
          <w:tab w:val="left" w:pos="1260"/>
        </w:tabs>
        <w:spacing w:after="0" w:line="240" w:lineRule="auto"/>
        <w:ind w:left="708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>- a nyílt árokrendszerű csapadékvíz-elvezetés az adott terület, építmény használatbavételéig biztosított.</w:t>
      </w:r>
    </w:p>
    <w:p w:rsidR="0030750B" w:rsidRPr="00355521" w:rsidRDefault="0030750B" w:rsidP="0030750B">
      <w:pPr>
        <w:pStyle w:val="Lista3"/>
        <w:tabs>
          <w:tab w:val="left" w:pos="900"/>
        </w:tabs>
        <w:spacing w:after="0" w:line="240" w:lineRule="auto"/>
        <w:ind w:left="708"/>
        <w:contextualSpacing w:val="0"/>
        <w:jc w:val="both"/>
        <w:rPr>
          <w:rFonts w:ascii="Times New Roman" w:hAnsi="Times New Roman"/>
          <w:szCs w:val="24"/>
        </w:rPr>
      </w:pPr>
    </w:p>
    <w:p w:rsidR="0030750B" w:rsidRPr="00355521" w:rsidRDefault="0030750B" w:rsidP="002111FD">
      <w:pPr>
        <w:pStyle w:val="Lista3"/>
        <w:numPr>
          <w:ilvl w:val="0"/>
          <w:numId w:val="30"/>
        </w:numPr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>Közhasználatú építmény: olyan építmény (építményrész), amely</w:t>
      </w:r>
    </w:p>
    <w:p w:rsidR="0030750B" w:rsidRPr="00355521" w:rsidRDefault="0030750B" w:rsidP="002111FD">
      <w:pPr>
        <w:pStyle w:val="Lista3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 xml:space="preserve">a település, vagy településrész ellátását szolgáló funkciót tartalmaz, és </w:t>
      </w:r>
    </w:p>
    <w:p w:rsidR="0030750B" w:rsidRPr="00355521" w:rsidRDefault="0030750B" w:rsidP="002111FD">
      <w:pPr>
        <w:pStyle w:val="Lista3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>használata nem korlátozott, illetve nem korlátozható (pl. alap-, közép, felsőfokú oktatási, egészségvédelmi, gyógyító, szociális, kulturális, művelődési, sport, pénzügyi, kereskedelmi, biztosítási, szolgáltatási célú építmények mindenki által használható részei), továbbá</w:t>
      </w:r>
    </w:p>
    <w:p w:rsidR="0030750B" w:rsidRPr="00355521" w:rsidRDefault="0030750B" w:rsidP="002111FD">
      <w:pPr>
        <w:pStyle w:val="Lista3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>használata meghatározott esetekben kötelező, illetve elkerülhetetlen (például a közigazgatás, igazságszolgáltatás, ügyészség építményeinek mindenki által használható részei), valamint amelyet</w:t>
      </w:r>
    </w:p>
    <w:p w:rsidR="0030750B" w:rsidRPr="00355521" w:rsidRDefault="0030750B" w:rsidP="002111FD">
      <w:pPr>
        <w:pStyle w:val="Lista3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>törvény vagy kormányrendelet közhasználatúként határoz meg.</w:t>
      </w:r>
    </w:p>
    <w:p w:rsidR="0030750B" w:rsidRPr="00355521" w:rsidRDefault="0030750B" w:rsidP="0030750B">
      <w:pPr>
        <w:pStyle w:val="Lista3"/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</w:p>
    <w:p w:rsidR="0030750B" w:rsidRPr="00355521" w:rsidRDefault="0030750B" w:rsidP="002111FD">
      <w:pPr>
        <w:pStyle w:val="Lista3"/>
        <w:numPr>
          <w:ilvl w:val="0"/>
          <w:numId w:val="30"/>
        </w:numPr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355521">
        <w:rPr>
          <w:rFonts w:ascii="Times New Roman" w:hAnsi="Times New Roman"/>
          <w:szCs w:val="24"/>
        </w:rPr>
        <w:t>Közterület: Közhasználatra szolgáló minden olyan állami vagy önkormányzati tulajdonban álló földterület, amelyet a rendeltetésnek megfelelően bárki használhat, és az ingatlan-nyilvántartás ekként tart nyilván. Egyéb ingatlanoknak a közhasználat céljára átadott területrészére – az erről szóló külön szerződésben foglalt keretek között – a közterületre vonatkozó rendelkezéseket kell alkalmazni. Közterület rendeltetése különösen: a közlekedés biztosítása (utak, terek), a pihenő- és emlékhelyek kialakítása (parkok, köztéri szobrok stb.), a közművek elhelyezése.</w:t>
      </w:r>
    </w:p>
    <w:p w:rsidR="0030750B" w:rsidRPr="00355521" w:rsidRDefault="0030750B" w:rsidP="0030750B">
      <w:pPr>
        <w:pStyle w:val="Lista3"/>
        <w:tabs>
          <w:tab w:val="left" w:pos="900"/>
        </w:tabs>
        <w:spacing w:after="0" w:line="240" w:lineRule="auto"/>
        <w:ind w:left="66" w:firstLine="0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Különleges területek: a rendeltetési területek egyik csoportja, melyet csak a településszerkezeti terven különleges terület megnevezésű terület-felhasználási egységen </w:t>
      </w:r>
      <w:r w:rsidRPr="00932744">
        <w:rPr>
          <w:rFonts w:ascii="Times New Roman" w:hAnsi="Times New Roman"/>
          <w:sz w:val="24"/>
          <w:szCs w:val="24"/>
        </w:rPr>
        <w:lastRenderedPageBreak/>
        <w:t xml:space="preserve">belül jelölhetők ki. Az ilyen </w:t>
      </w:r>
      <w:proofErr w:type="spellStart"/>
      <w:r w:rsidRPr="00932744">
        <w:rPr>
          <w:rFonts w:ascii="Times New Roman" w:hAnsi="Times New Roman"/>
          <w:sz w:val="24"/>
          <w:szCs w:val="24"/>
        </w:rPr>
        <w:t>övezetekeben</w:t>
      </w:r>
      <w:proofErr w:type="spellEnd"/>
      <w:r w:rsidRPr="00932744">
        <w:rPr>
          <w:rFonts w:ascii="Times New Roman" w:hAnsi="Times New Roman"/>
          <w:sz w:val="24"/>
          <w:szCs w:val="24"/>
        </w:rPr>
        <w:t xml:space="preserve"> a szabályozási tervlap rögzíti a kizárólagos használat jellegét.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Kötelező erejű szabályozás (kötelező szabályozási elemek): a szabályozási tervben alkalmazott jogi eszköz, amely építéssel összefüggő jogokat, kötelezettségeket rögzít.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Közhasználatra szánt terület: ide a közterület fogalmába nem tartozó, de a közhasználatban nem korlátozott területek tartoznak. Ilyen például az </w:t>
      </w:r>
      <w:proofErr w:type="spellStart"/>
      <w:r w:rsidRPr="00932744">
        <w:rPr>
          <w:rFonts w:ascii="Times New Roman" w:hAnsi="Times New Roman"/>
          <w:sz w:val="24"/>
          <w:szCs w:val="24"/>
        </w:rPr>
        <w:t>egészségügyi-szociális-turisztikai</w:t>
      </w:r>
      <w:proofErr w:type="spellEnd"/>
      <w:r w:rsidRPr="00932744">
        <w:rPr>
          <w:rFonts w:ascii="Times New Roman" w:hAnsi="Times New Roman"/>
          <w:sz w:val="24"/>
          <w:szCs w:val="24"/>
        </w:rPr>
        <w:t xml:space="preserve"> erdő, vagy a belterületi véderdő, ahol a tulajdoni állapotoktól függetlenül a közhasználat nagyobbrészt nem korlátozható.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Központi települési terület: a központi belterület és a közvetlen hozzá csatlakozó külterületi beépítésre szánt területek együttes területe.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Közösségi cél (közcél): a település közösségének közös érdekeit szolgáló célkitűzés. A közösségi célok érdekében lehet közcélú tilalmakat, korlátozásokat elrendelni. Ilyen közösségi </w:t>
      </w:r>
      <w:proofErr w:type="gramStart"/>
      <w:r w:rsidRPr="00932744">
        <w:rPr>
          <w:rFonts w:ascii="Times New Roman" w:hAnsi="Times New Roman"/>
          <w:sz w:val="24"/>
          <w:szCs w:val="24"/>
        </w:rPr>
        <w:t>cél szolgáló</w:t>
      </w:r>
      <w:proofErr w:type="gramEnd"/>
      <w:r w:rsidRPr="00932744">
        <w:rPr>
          <w:rFonts w:ascii="Times New Roman" w:hAnsi="Times New Roman"/>
          <w:sz w:val="24"/>
          <w:szCs w:val="24"/>
        </w:rPr>
        <w:t xml:space="preserve"> tilalom pl. a közutak, a zöldfelületek létesítése, vagy a közösségi intézmények építési területbiztosítása.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Külterület: a település közigazgatási területének belterületnek nem minősülő, elsősorban mezőgazdasági, erdőművelési, vízügyi, illetőleg különleges (pl. bánya, vízmeder, hulladéktelep) célra szolgáló része. Az OTÉK megengedi, hogy a településrendezési terv külterületen beépítésre szánt területet kijelöljön.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Lakópark: olyan, nagyobb méretű telken álló lakóépületek vagy egyedi lakótelkek csoportja, vagy csoportjai, amelyekhez a telken belül közös használatú zöldfelületek (közkertek) és utak tartoznak. A telken a lakóépületeket kiszolgáló alapellátó intézmények is elhelyezhetők.</w:t>
      </w:r>
    </w:p>
    <w:p w:rsidR="0030750B" w:rsidRPr="00932744" w:rsidRDefault="0030750B" w:rsidP="0030750B">
      <w:pPr>
        <w:pStyle w:val="Listaszerbekezds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Melléképítmény: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605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közmű becsatlakozási műtárgy,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közműpótló műtárgy, árnyékszék,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hulladéktartály-tároló (legfeljebb 2,0 m-es belmagassággal),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kirakatszekrény (legfeljebb 0,4 m-es mélységgel),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kerti építmény (hinta, csúszda, homokozó, szökőkút, pihenés és játék céljáró szolgáló műtárgy, a terepszintnél 1 m-nél nem magasabbra emelkedő lefedés nélküli terasz),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kerti víz- és fürdőmedence, napkollektor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kerti épített tűzrakó hely,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kerti lugas, továbbá lábon álló kerti tető, legfeljebb 20 m2 vízszintes vetülettel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háztartási célú kemence, húsfüstölő, jégverem, zöldségverem,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állatkifutó,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trágyatároló, komposztáló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siló, ömlesztett anyag, folyadék- és gáztároló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kerti szabadlépcső (tereplépcső) és lejtő,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932744">
        <w:rPr>
          <w:rFonts w:ascii="Times New Roman" w:hAnsi="Times New Roman"/>
          <w:szCs w:val="24"/>
        </w:rPr>
        <w:t>-szabadon</w:t>
      </w:r>
      <w:proofErr w:type="spellEnd"/>
      <w:r w:rsidRPr="00932744">
        <w:rPr>
          <w:rFonts w:ascii="Times New Roman" w:hAnsi="Times New Roman"/>
          <w:szCs w:val="24"/>
        </w:rPr>
        <w:t xml:space="preserve"> álló és legfeljebb 6,0 m magas szélkerék, antennaoszlop, zászlótartó oszlop</w:t>
      </w:r>
    </w:p>
    <w:p w:rsidR="0030750B" w:rsidRPr="00932744" w:rsidRDefault="0030750B" w:rsidP="002111FD">
      <w:pPr>
        <w:pStyle w:val="Lista3"/>
        <w:numPr>
          <w:ilvl w:val="2"/>
          <w:numId w:val="32"/>
        </w:numPr>
        <w:tabs>
          <w:tab w:val="left" w:pos="900"/>
        </w:tabs>
        <w:spacing w:after="0" w:line="240" w:lineRule="auto"/>
        <w:ind w:left="1843" w:hanging="567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növényház, üvegház, fóliasátor 4,5 m gerincmagasság alatt.</w:t>
      </w:r>
    </w:p>
    <w:p w:rsidR="0030750B" w:rsidRPr="00932744" w:rsidRDefault="0030750B" w:rsidP="0030750B">
      <w:pPr>
        <w:pStyle w:val="Lista3"/>
        <w:tabs>
          <w:tab w:val="left" w:pos="900"/>
        </w:tabs>
        <w:spacing w:after="0" w:line="240" w:lineRule="auto"/>
        <w:ind w:left="426" w:hanging="1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lastRenderedPageBreak/>
        <w:t>A melléképítmények építési telken belül elhelyezését az OTÉK 31. § (4) bekezdése és a 35. § (6) bekezdés szabályozza.</w:t>
      </w:r>
    </w:p>
    <w:p w:rsidR="0030750B" w:rsidRPr="00932744" w:rsidRDefault="0030750B" w:rsidP="0030750B">
      <w:pPr>
        <w:pStyle w:val="Lista3"/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Melléképületek: a jelen rendeletben használt fogalom. Az építmények azon csoportja, amelyek a rendeltetési zóna előírásaiban megnevezett építmények használatát kiegészítik, különállóan épülnek és nem minősülnek melléképítménynek.</w:t>
      </w:r>
    </w:p>
    <w:p w:rsidR="0030750B" w:rsidRPr="00932744" w:rsidRDefault="0030750B" w:rsidP="0030750B">
      <w:pPr>
        <w:ind w:left="567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Mezőgazdasági építmény: a növénytermesztés és az állattenyésztés, továbbá az ezekkel kapcsolatos termékfeldolgozás és tárolás építménye.</w:t>
      </w:r>
    </w:p>
    <w:p w:rsidR="0030750B" w:rsidRPr="00932744" w:rsidRDefault="0030750B" w:rsidP="0030750B">
      <w:pPr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Oldalhatáron álló beépítési mód: olyan beépítési mód, ahol újonnan építmény csak oldalhatáron álló beépítési módhoz tartozó építési helyen belül helyezhető el. Az oldalhatáron álló építési hely a telektömb utcavonalán jellemzően a jobb vagy baloldali telekhatárhoz csatlakoztatva úgy helyezkedik el, hogy:</w:t>
      </w:r>
    </w:p>
    <w:p w:rsidR="0030750B" w:rsidRPr="00932744" w:rsidRDefault="0030750B" w:rsidP="0030750B">
      <w:pPr>
        <w:pStyle w:val="Lista3"/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vagy elő- és hátsókerttel, valamint egy oldalról oldalkerttel,</w:t>
      </w:r>
    </w:p>
    <w:p w:rsidR="0030750B" w:rsidRPr="00932744" w:rsidRDefault="0030750B" w:rsidP="002111FD">
      <w:pPr>
        <w:pStyle w:val="Listaszerbekezds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vagy hátsókerttel, és egy oldalról oldalkerttel határos, és a szomszédos telek építési helyével nem érintkezik.</w:t>
      </w:r>
    </w:p>
    <w:p w:rsidR="0030750B" w:rsidRPr="00932744" w:rsidRDefault="0030750B" w:rsidP="0030750B">
      <w:pPr>
        <w:pStyle w:val="Lista3"/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3"/>
        <w:numPr>
          <w:ilvl w:val="0"/>
          <w:numId w:val="30"/>
        </w:numPr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32744">
        <w:rPr>
          <w:rFonts w:ascii="Times New Roman" w:hAnsi="Times New Roman"/>
          <w:szCs w:val="24"/>
        </w:rPr>
        <w:t>Oldalkert: a telek építési helyének határa és a szomszédos telek oldalsó telekhatára közötti terület.</w:t>
      </w:r>
    </w:p>
    <w:p w:rsidR="0030750B" w:rsidRPr="00932744" w:rsidRDefault="0030750B" w:rsidP="0030750B">
      <w:pPr>
        <w:pStyle w:val="Lista3"/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Ömlesztett </w:t>
      </w:r>
      <w:proofErr w:type="gramStart"/>
      <w:r w:rsidRPr="00932744">
        <w:rPr>
          <w:rFonts w:ascii="Times New Roman" w:hAnsi="Times New Roman"/>
          <w:sz w:val="24"/>
          <w:szCs w:val="24"/>
        </w:rPr>
        <w:t>anyag tároló</w:t>
      </w:r>
      <w:proofErr w:type="gramEnd"/>
      <w:r w:rsidRPr="00932744">
        <w:rPr>
          <w:rFonts w:ascii="Times New Roman" w:hAnsi="Times New Roman"/>
          <w:sz w:val="24"/>
          <w:szCs w:val="24"/>
        </w:rPr>
        <w:t>: ömlesztett anyag tárolása céljára létesített olyan melléképítmény, amelynek területe a 2,0 x 2,0 m alapterületet és a 2,5 m magasságot nem haladhatja meg.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Pavilon: olyan építmény, amely huzamos tartózkodásra alkalmas helyiséget foglal magában, épületszerkezete könnyűszerkezet, nem nagyobb, mint 10 m2, valamint az építmény magassága legfeljebb 3,0 m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Rendezett építési telek: olyan építési telek, amely megfelel az </w:t>
      </w:r>
      <w:proofErr w:type="spellStart"/>
      <w:r w:rsidRPr="00932744">
        <w:rPr>
          <w:rFonts w:ascii="Times New Roman" w:hAnsi="Times New Roman"/>
          <w:sz w:val="24"/>
          <w:szCs w:val="24"/>
        </w:rPr>
        <w:t>Étv</w:t>
      </w:r>
      <w:proofErr w:type="spellEnd"/>
      <w:r w:rsidRPr="00932744">
        <w:rPr>
          <w:rFonts w:ascii="Times New Roman" w:hAnsi="Times New Roman"/>
          <w:sz w:val="24"/>
          <w:szCs w:val="24"/>
        </w:rPr>
        <w:t xml:space="preserve">. 2. §. 6. pontjában előírtaknak, továbbá nincs a jelen előírásoknak meg nem felelő elhelyezkedésű, az építési helyen kívülre nyúló épület vagy épületrész, és </w:t>
      </w:r>
      <w:proofErr w:type="gramStart"/>
      <w:r w:rsidRPr="00932744">
        <w:rPr>
          <w:rFonts w:ascii="Times New Roman" w:hAnsi="Times New Roman"/>
          <w:sz w:val="24"/>
          <w:szCs w:val="24"/>
        </w:rPr>
        <w:t>a  telket</w:t>
      </w:r>
      <w:proofErr w:type="gramEnd"/>
      <w:r w:rsidRPr="00932744">
        <w:rPr>
          <w:rFonts w:ascii="Times New Roman" w:hAnsi="Times New Roman"/>
          <w:sz w:val="24"/>
          <w:szCs w:val="24"/>
        </w:rPr>
        <w:t xml:space="preserve"> közmű vezeték nem érinti.</w:t>
      </w:r>
    </w:p>
    <w:p w:rsidR="0030750B" w:rsidRPr="00932744" w:rsidRDefault="0030750B" w:rsidP="0030750B">
      <w:pPr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Saroktelek: az a telek, amely a közterülettel egynél több, egymással 0 foktól eltérő szöget bezáró határvonallal érintkezik.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Siló: takarmány tárolására szolgáló, légmentesen elzárt tartály vagy verem.</w:t>
      </w: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Szabályozási elem: a rendelet előírásainak egységei (elemei). A szabályozási elemek csoportosíthatók témakörönként, illetve aszerint, hogy szövegben, vagy csak rajzilag rögzíthetők. A szöveges szabályozási elemeket Nyíradony Város Építési Szabályzata, a rajzi szabályozási elemeket pedig a mellékleteiként a szabályozási tervlap rögzítik.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Szabályozási szélesség: az utca két oldalán az egymással szemben lévő telkek között megengedett legkisebb távolság; a közút építési területének megengedett legkisebb szélessége, a közterület szélessége a nem közterületek között.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Szabályozási terv: A szabályozási terv az Építési Szabályzat rajzi kiegészítése és így annak elválaszthatatlan része.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lastRenderedPageBreak/>
        <w:t xml:space="preserve">Tanyaudvar: Mezőgazdasági területbe sorolt telken kialakított, </w:t>
      </w:r>
      <w:proofErr w:type="spellStart"/>
      <w:r w:rsidRPr="00932744">
        <w:rPr>
          <w:rFonts w:ascii="Times New Roman" w:hAnsi="Times New Roman"/>
          <w:sz w:val="24"/>
          <w:szCs w:val="24"/>
        </w:rPr>
        <w:t>albetétben</w:t>
      </w:r>
      <w:proofErr w:type="spellEnd"/>
      <w:r w:rsidRPr="00932744">
        <w:rPr>
          <w:rFonts w:ascii="Times New Roman" w:hAnsi="Times New Roman"/>
          <w:sz w:val="24"/>
          <w:szCs w:val="24"/>
        </w:rPr>
        <w:t xml:space="preserve"> elhatárolt telekrész, amelyet a mezőgazdasági művelésből kivontak. A tanyaudvaron a rendeltetési előírások szerinti építés engedélyezhető.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Telek: egy helyrajzi számon nyilvántartásba vett földterület.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Terepszint alatti építmény: olyan építmény, amely teljes egészében a környező (szomszédos) és a csatlakozó terepszint alatt van, vagy legfeljebb a lejtő felőli homlokzat felülete és az oldalhomlokzat felületrésze kerül a terepszint fölé, amelyhez közvetlenül kerti szabadlépcső vagy lejtő csatlakozik (pl. támfal-garázs).</w:t>
      </w:r>
    </w:p>
    <w:p w:rsidR="0030750B" w:rsidRPr="00932744" w:rsidRDefault="0030750B" w:rsidP="0030750B">
      <w:pPr>
        <w:pStyle w:val="Listaszerbekezds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Tetőtér beépítés: tetőbérben </w:t>
      </w:r>
      <w:proofErr w:type="gramStart"/>
      <w:r w:rsidRPr="00932744">
        <w:rPr>
          <w:rFonts w:ascii="Times New Roman" w:hAnsi="Times New Roman"/>
          <w:sz w:val="24"/>
          <w:szCs w:val="24"/>
        </w:rPr>
        <w:t>helyiség(</w:t>
      </w:r>
      <w:proofErr w:type="spellStart"/>
      <w:proofErr w:type="gramEnd"/>
      <w:r w:rsidRPr="00932744">
        <w:rPr>
          <w:rFonts w:ascii="Times New Roman" w:hAnsi="Times New Roman"/>
          <w:sz w:val="24"/>
          <w:szCs w:val="24"/>
        </w:rPr>
        <w:t>ek</w:t>
      </w:r>
      <w:proofErr w:type="spellEnd"/>
      <w:r w:rsidRPr="00932744">
        <w:rPr>
          <w:rFonts w:ascii="Times New Roman" w:hAnsi="Times New Roman"/>
          <w:sz w:val="24"/>
          <w:szCs w:val="24"/>
        </w:rPr>
        <w:t>), helyiségcsoport(ok) vagy önálló rendeltetési egység építésével építményszint létrehozása.</w:t>
      </w:r>
    </w:p>
    <w:p w:rsidR="0030750B" w:rsidRPr="00932744" w:rsidRDefault="0030750B" w:rsidP="0030750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Telek homlokvonala: az utca vagy közterület felőli telekhatár.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Telektömb: a telkek olyan csoportja, amelyet minden oldalról közterület vagy beépítésre nem szánt terület határol.</w:t>
      </w:r>
    </w:p>
    <w:p w:rsidR="0030750B" w:rsidRPr="00932744" w:rsidRDefault="0030750B" w:rsidP="0030750B">
      <w:pPr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Tervezett beépítésre szánt terület: a területbe azok a telkek tartoznak, melyek a jelen előírás jóváhagyása előtt külterületbe és beépítésre nem szánt területbe tartoztak és a jelen szabályzat beépítésre szánt területbe sorolja.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Védőterület, védősáv: a védelmet igénylő építmények, illetőleg környezetük védelmére, a környezeti károk mérséklésére szolgál. A védőterülete valamely építmény körül, míg a védősávot valamely építmény, objektum mentén kell kialakítani. Az előbbiek kiterjedését a védőtávolság határozza meg.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Zártsorú beépítési mód: olyan beépítési mód, ahol újonnan építmény csak zártsorú beépítési módhoz tartozó építési helyen belül helyezhető el. A zártsorú építési hely a telken belül úgy helyezkedik el, hogy a telek oldalhatáraival érintkezik és az előkerttel, illetőleg a hátsókerttel vagy a hátsó telekhatárral határos.</w:t>
      </w:r>
    </w:p>
    <w:p w:rsidR="0030750B" w:rsidRPr="00932744" w:rsidRDefault="0030750B" w:rsidP="0030750B">
      <w:pPr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 jelen rendelet a zártsorú beépítési mód két típusát különbözteti meg:</w:t>
      </w:r>
    </w:p>
    <w:p w:rsidR="0030750B" w:rsidRPr="00932744" w:rsidRDefault="0030750B" w:rsidP="002111FD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zártsorú – általános</w:t>
      </w:r>
    </w:p>
    <w:p w:rsidR="0030750B" w:rsidRPr="00932744" w:rsidRDefault="0030750B" w:rsidP="002111FD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zártsorú – keretes</w:t>
      </w:r>
    </w:p>
    <w:p w:rsidR="0030750B" w:rsidRPr="00932744" w:rsidRDefault="0030750B" w:rsidP="0030750B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 zártsorú – keretes beépítési módnál az építési hely megegyezik a telek területével.</w:t>
      </w:r>
    </w:p>
    <w:p w:rsidR="0030750B" w:rsidRPr="00932744" w:rsidRDefault="0030750B" w:rsidP="0030750B">
      <w:pPr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Nem zavaró hatású építmény: olyan építmény, amely jellemzőiben az adott övezetben megszabott általános követelményektől nem tér el, az övezet alapfunkciói szerinti építményekre, azok rendeltetés szerinti használatára korlátozó hatást bizonyítottan nem jelent.</w:t>
      </w:r>
    </w:p>
    <w:p w:rsidR="0030750B" w:rsidRPr="00932744" w:rsidRDefault="0030750B" w:rsidP="0030750B">
      <w:pPr>
        <w:ind w:left="426"/>
        <w:jc w:val="both"/>
        <w:rPr>
          <w:sz w:val="24"/>
          <w:szCs w:val="24"/>
        </w:rPr>
      </w:pPr>
    </w:p>
    <w:p w:rsidR="0030750B" w:rsidRPr="0093274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Települési terület: az Országos Területrendezési Tervről szóló 2003. évi XXVI. Törvény fogalom meghatározása szerint a beépítésre szánt területek közül a belterületen lévő és az ahhoz közvetlenül csatlakozó beépítésre szánt területek együttese.</w:t>
      </w:r>
    </w:p>
    <w:p w:rsidR="0030750B" w:rsidRPr="00932744" w:rsidRDefault="0030750B" w:rsidP="0030750B">
      <w:pPr>
        <w:jc w:val="both"/>
        <w:rPr>
          <w:sz w:val="24"/>
          <w:szCs w:val="24"/>
        </w:rPr>
      </w:pPr>
    </w:p>
    <w:p w:rsidR="0030750B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Mezőgazdasági major: meglévő/volt TSZ (gépjavító, állattartó stb.) telep.</w:t>
      </w:r>
    </w:p>
    <w:p w:rsidR="0030750B" w:rsidRPr="00C54B84" w:rsidRDefault="0030750B" w:rsidP="002111FD">
      <w:pPr>
        <w:pStyle w:val="Listaszerbekezds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54B84">
        <w:rPr>
          <w:rFonts w:ascii="Times New Roman" w:hAnsi="Times New Roman"/>
          <w:sz w:val="24"/>
          <w:szCs w:val="24"/>
        </w:rPr>
        <w:lastRenderedPageBreak/>
        <w:t xml:space="preserve">Előkerti zóna (jele: EZ=): a szabályozási terveken ábrázolt helyeken belül, annak közterülettel határos oldalán, a szabályozási terveken feltüntetett mértékben és helyeken kijelölt, egyedileg meghatározott speciális rendeltetésű építmények elhelyezésére szolgáló </w:t>
      </w:r>
      <w:proofErr w:type="gramStart"/>
      <w:r w:rsidRPr="00C54B84">
        <w:rPr>
          <w:rFonts w:ascii="Times New Roman" w:hAnsi="Times New Roman"/>
          <w:sz w:val="24"/>
          <w:szCs w:val="24"/>
        </w:rPr>
        <w:t>terület rész</w:t>
      </w:r>
      <w:proofErr w:type="gramEnd"/>
      <w:r w:rsidRPr="00C54B84">
        <w:rPr>
          <w:rFonts w:ascii="Times New Roman" w:hAnsi="Times New Roman"/>
          <w:sz w:val="24"/>
          <w:szCs w:val="24"/>
        </w:rPr>
        <w:t xml:space="preserve">. A mértékét minden esetben a jel mögé írt szám rögzíti méterben kifejezve. </w:t>
      </w:r>
      <w:proofErr w:type="gramStart"/>
      <w:r w:rsidRPr="00C54B84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C54B84">
        <w:rPr>
          <w:rFonts w:ascii="Times New Roman" w:hAnsi="Times New Roman"/>
          <w:sz w:val="24"/>
          <w:szCs w:val="24"/>
        </w:rPr>
        <w:t>pl</w:t>
      </w:r>
      <w:proofErr w:type="spellEnd"/>
      <w:proofErr w:type="gramEnd"/>
      <w:r w:rsidRPr="00C54B84">
        <w:rPr>
          <w:rFonts w:ascii="Times New Roman" w:hAnsi="Times New Roman"/>
          <w:sz w:val="24"/>
          <w:szCs w:val="24"/>
        </w:rPr>
        <w:t xml:space="preserve">: EZ=10,0 méteres mélységű előkerti zóna) </w:t>
      </w:r>
      <w:r w:rsidRPr="00C54B84">
        <w:rPr>
          <w:rFonts w:ascii="Times New Roman" w:hAnsi="Times New Roman"/>
          <w:sz w:val="24"/>
          <w:szCs w:val="24"/>
          <w:vertAlign w:val="superscript"/>
        </w:rPr>
        <w:t>5.</w:t>
      </w:r>
    </w:p>
    <w:p w:rsidR="0030750B" w:rsidRPr="00C54B84" w:rsidRDefault="0030750B" w:rsidP="0030750B">
      <w:pPr>
        <w:autoSpaceDE w:val="0"/>
        <w:autoSpaceDN w:val="0"/>
        <w:adjustRightInd w:val="0"/>
        <w:jc w:val="both"/>
      </w:pPr>
    </w:p>
    <w:p w:rsidR="0030750B" w:rsidRPr="0012612F" w:rsidRDefault="0030750B" w:rsidP="0030750B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30750B" w:rsidRPr="0012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BB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5F86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69BE"/>
    <w:multiLevelType w:val="singleLevel"/>
    <w:tmpl w:val="B832DCB2"/>
    <w:lvl w:ilvl="0">
      <w:start w:val="3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3062FC4"/>
    <w:multiLevelType w:val="hybridMultilevel"/>
    <w:tmpl w:val="7678434A"/>
    <w:lvl w:ilvl="0" w:tplc="CCB00410">
      <w:start w:val="1"/>
      <w:numFmt w:val="lowerLetter"/>
      <w:lvlText w:val="a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D3C059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61B58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2A1F"/>
    <w:multiLevelType w:val="hybridMultilevel"/>
    <w:tmpl w:val="62EA498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72BD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56472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7514F"/>
    <w:multiLevelType w:val="hybridMultilevel"/>
    <w:tmpl w:val="6D5E0918"/>
    <w:lvl w:ilvl="0" w:tplc="7D6E8608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F63FC"/>
    <w:multiLevelType w:val="hybridMultilevel"/>
    <w:tmpl w:val="C7DE0FDA"/>
    <w:lvl w:ilvl="0" w:tplc="7F14A200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523E4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BB6878"/>
    <w:multiLevelType w:val="hybridMultilevel"/>
    <w:tmpl w:val="0C707500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F7C80"/>
    <w:multiLevelType w:val="hybridMultilevel"/>
    <w:tmpl w:val="37B0B2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4222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513A2"/>
    <w:multiLevelType w:val="hybridMultilevel"/>
    <w:tmpl w:val="888E2CDC"/>
    <w:lvl w:ilvl="0" w:tplc="474A3BD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0D77"/>
    <w:multiLevelType w:val="hybridMultilevel"/>
    <w:tmpl w:val="22B24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CCB00410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943022"/>
    <w:multiLevelType w:val="hybridMultilevel"/>
    <w:tmpl w:val="0448A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1320356">
      <w:start w:val="1"/>
      <w:numFmt w:val="lowerLetter"/>
      <w:lvlText w:val="d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7E228126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488225F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97FE95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01025"/>
    <w:multiLevelType w:val="hybridMultilevel"/>
    <w:tmpl w:val="1A58125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1560D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75162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54FF6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A221E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9360F"/>
    <w:multiLevelType w:val="hybridMultilevel"/>
    <w:tmpl w:val="45F42308"/>
    <w:lvl w:ilvl="0" w:tplc="AEC8E236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1907525E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1B57C2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C119C2"/>
    <w:multiLevelType w:val="hybridMultilevel"/>
    <w:tmpl w:val="A1DC0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0412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615290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520120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33518A"/>
    <w:multiLevelType w:val="hybridMultilevel"/>
    <w:tmpl w:val="483A632A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296473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70F40"/>
    <w:multiLevelType w:val="hybridMultilevel"/>
    <w:tmpl w:val="6E622CE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A5B9F"/>
    <w:multiLevelType w:val="hybridMultilevel"/>
    <w:tmpl w:val="58DA3686"/>
    <w:lvl w:ilvl="0" w:tplc="C87AA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116D2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BC02B4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0585"/>
    <w:multiLevelType w:val="hybridMultilevel"/>
    <w:tmpl w:val="FBF22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AF490E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0373EB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A80679"/>
    <w:multiLevelType w:val="hybridMultilevel"/>
    <w:tmpl w:val="4DFC547E"/>
    <w:lvl w:ilvl="0" w:tplc="CFD83EF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7C3466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2CD300D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F6E51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D32B1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917427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757E8C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E413E6"/>
    <w:multiLevelType w:val="hybridMultilevel"/>
    <w:tmpl w:val="7A101478"/>
    <w:lvl w:ilvl="0" w:tplc="A5681364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46">
    <w:nsid w:val="3C540FB6"/>
    <w:multiLevelType w:val="hybridMultilevel"/>
    <w:tmpl w:val="C5E2E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6D4F8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CBA75A6"/>
    <w:multiLevelType w:val="hybridMultilevel"/>
    <w:tmpl w:val="5F7ED7B6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F7C2F"/>
    <w:multiLevelType w:val="hybridMultilevel"/>
    <w:tmpl w:val="D382D1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1E6F6C"/>
    <w:multiLevelType w:val="hybridMultilevel"/>
    <w:tmpl w:val="CCE26E08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196023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CF6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7914D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02C84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714DAC"/>
    <w:multiLevelType w:val="hybridMultilevel"/>
    <w:tmpl w:val="2C2E4E7E"/>
    <w:lvl w:ilvl="0" w:tplc="AEC8E236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DBF4BF6"/>
    <w:multiLevelType w:val="hybridMultilevel"/>
    <w:tmpl w:val="DFD22632"/>
    <w:lvl w:ilvl="0" w:tplc="4EA46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6702D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F72F89"/>
    <w:multiLevelType w:val="hybridMultilevel"/>
    <w:tmpl w:val="600E8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CB00410">
      <w:start w:val="1"/>
      <w:numFmt w:val="lowerLetter"/>
      <w:lvlText w:val="a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ACB29876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203690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6F7AB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393F7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3020A9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D00E9"/>
    <w:multiLevelType w:val="hybridMultilevel"/>
    <w:tmpl w:val="A94EADA6"/>
    <w:lvl w:ilvl="0" w:tplc="43128C2A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840B07"/>
    <w:multiLevelType w:val="hybridMultilevel"/>
    <w:tmpl w:val="8D8CB97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AB788E"/>
    <w:multiLevelType w:val="hybridMultilevel"/>
    <w:tmpl w:val="A5F418C4"/>
    <w:lvl w:ilvl="0" w:tplc="D31C8A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C5247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252ADE"/>
    <w:multiLevelType w:val="hybridMultilevel"/>
    <w:tmpl w:val="B82C0C02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A536A4"/>
    <w:multiLevelType w:val="hybridMultilevel"/>
    <w:tmpl w:val="A202AC20"/>
    <w:lvl w:ilvl="0" w:tplc="2B6EA5A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69628A"/>
    <w:multiLevelType w:val="hybridMultilevel"/>
    <w:tmpl w:val="C4604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EAD8B6">
      <w:start w:val="1"/>
      <w:numFmt w:val="lowerLetter"/>
      <w:lvlText w:val="b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C31A32DC">
      <w:start w:val="10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CF1014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201E0A"/>
    <w:multiLevelType w:val="hybridMultilevel"/>
    <w:tmpl w:val="1696C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C3664A2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F7E0D9F8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563796"/>
    <w:multiLevelType w:val="hybridMultilevel"/>
    <w:tmpl w:val="83107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c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3ED49CDA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FF04EFB4">
      <w:start w:val="1"/>
      <w:numFmt w:val="upperLetter"/>
      <w:lvlText w:val="%5.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0C02CA"/>
    <w:multiLevelType w:val="hybridMultilevel"/>
    <w:tmpl w:val="1B249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566405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4129D"/>
    <w:multiLevelType w:val="hybridMultilevel"/>
    <w:tmpl w:val="6C161380"/>
    <w:lvl w:ilvl="0" w:tplc="9BE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F14389"/>
    <w:multiLevelType w:val="hybridMultilevel"/>
    <w:tmpl w:val="EDFED436"/>
    <w:lvl w:ilvl="0" w:tplc="68DEA32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>
    <w:nsid w:val="65CC01C4"/>
    <w:multiLevelType w:val="hybridMultilevel"/>
    <w:tmpl w:val="B8701F10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341AA9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394206"/>
    <w:multiLevelType w:val="hybridMultilevel"/>
    <w:tmpl w:val="BCA0D89A"/>
    <w:lvl w:ilvl="0" w:tplc="0E16BD3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57224E"/>
    <w:multiLevelType w:val="hybridMultilevel"/>
    <w:tmpl w:val="F68AAF84"/>
    <w:lvl w:ilvl="0" w:tplc="278A2FCC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E5708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290A5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2C29"/>
    <w:multiLevelType w:val="hybridMultilevel"/>
    <w:tmpl w:val="AD424E8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BD29A1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8359A0"/>
    <w:multiLevelType w:val="hybridMultilevel"/>
    <w:tmpl w:val="BD700A8A"/>
    <w:lvl w:ilvl="0" w:tplc="96AA89F6">
      <w:start w:val="1"/>
      <w:numFmt w:val="upperRoman"/>
      <w:lvlText w:val="%1."/>
      <w:lvlJc w:val="left"/>
      <w:pPr>
        <w:ind w:left="1080" w:hanging="720"/>
      </w:pPr>
    </w:lvl>
    <w:lvl w:ilvl="1" w:tplc="4EA816F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E87A68"/>
    <w:multiLevelType w:val="hybridMultilevel"/>
    <w:tmpl w:val="98520CCC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AA2F74"/>
    <w:multiLevelType w:val="hybridMultilevel"/>
    <w:tmpl w:val="888CF59C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EE6DD6"/>
    <w:multiLevelType w:val="hybridMultilevel"/>
    <w:tmpl w:val="EABA70A6"/>
    <w:lvl w:ilvl="0" w:tplc="67188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653A18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4B2190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8657E9"/>
    <w:multiLevelType w:val="hybridMultilevel"/>
    <w:tmpl w:val="BB38DE2A"/>
    <w:lvl w:ilvl="0" w:tplc="2ED2B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AC086B"/>
    <w:multiLevelType w:val="hybridMultilevel"/>
    <w:tmpl w:val="5F722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b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90AEE50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CF4C9E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5">
    <w:nsid w:val="76DB04C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CD426F9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D77BA"/>
    <w:multiLevelType w:val="hybridMultilevel"/>
    <w:tmpl w:val="418E6CF2"/>
    <w:lvl w:ilvl="0" w:tplc="4536B07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842D4D"/>
    <w:multiLevelType w:val="hybridMultilevel"/>
    <w:tmpl w:val="636C96DE"/>
    <w:lvl w:ilvl="0" w:tplc="68B68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5"/>
  </w:num>
  <w:num w:numId="3">
    <w:abstractNumId w:val="76"/>
  </w:num>
  <w:num w:numId="4">
    <w:abstractNumId w:val="2"/>
  </w:num>
  <w:num w:numId="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1"/>
  </w:num>
  <w:num w:numId="13">
    <w:abstractNumId w:val="58"/>
  </w:num>
  <w:num w:numId="14">
    <w:abstractNumId w:val="92"/>
  </w:num>
  <w:num w:numId="15">
    <w:abstractNumId w:val="72"/>
  </w:num>
  <w:num w:numId="16">
    <w:abstractNumId w:val="16"/>
  </w:num>
  <w:num w:numId="17">
    <w:abstractNumId w:val="44"/>
  </w:num>
  <w:num w:numId="18">
    <w:abstractNumId w:val="75"/>
  </w:num>
  <w:num w:numId="19">
    <w:abstractNumId w:val="37"/>
  </w:num>
  <w:num w:numId="20">
    <w:abstractNumId w:val="70"/>
  </w:num>
  <w:num w:numId="21">
    <w:abstractNumId w:val="18"/>
  </w:num>
  <w:num w:numId="22">
    <w:abstractNumId w:val="96"/>
  </w:num>
  <w:num w:numId="23">
    <w:abstractNumId w:val="74"/>
  </w:num>
  <w:num w:numId="24">
    <w:abstractNumId w:val="73"/>
  </w:num>
  <w:num w:numId="25">
    <w:abstractNumId w:val="15"/>
  </w:num>
  <w:num w:numId="26">
    <w:abstractNumId w:val="49"/>
  </w:num>
  <w:num w:numId="27">
    <w:abstractNumId w:val="25"/>
  </w:num>
  <w:num w:numId="28">
    <w:abstractNumId w:val="46"/>
  </w:num>
  <w:num w:numId="29">
    <w:abstractNumId w:val="35"/>
  </w:num>
  <w:num w:numId="30">
    <w:abstractNumId w:val="98"/>
  </w:num>
  <w:num w:numId="31">
    <w:abstractNumId w:val="45"/>
  </w:num>
  <w:num w:numId="32">
    <w:abstractNumId w:val="3"/>
  </w:num>
  <w:num w:numId="33">
    <w:abstractNumId w:val="55"/>
  </w:num>
  <w:num w:numId="34">
    <w:abstractNumId w:val="94"/>
  </w:num>
  <w:num w:numId="35">
    <w:abstractNumId w:val="56"/>
  </w:num>
  <w:num w:numId="36">
    <w:abstractNumId w:val="61"/>
  </w:num>
  <w:num w:numId="37">
    <w:abstractNumId w:val="33"/>
  </w:num>
  <w:num w:numId="38">
    <w:abstractNumId w:val="28"/>
  </w:num>
  <w:num w:numId="39">
    <w:abstractNumId w:val="60"/>
  </w:num>
  <w:num w:numId="40">
    <w:abstractNumId w:val="26"/>
  </w:num>
  <w:num w:numId="41">
    <w:abstractNumId w:val="43"/>
  </w:num>
  <w:num w:numId="42">
    <w:abstractNumId w:val="17"/>
  </w:num>
  <w:num w:numId="43">
    <w:abstractNumId w:val="64"/>
  </w:num>
  <w:num w:numId="44">
    <w:abstractNumId w:val="19"/>
  </w:num>
  <w:num w:numId="45">
    <w:abstractNumId w:val="10"/>
  </w:num>
  <w:num w:numId="46">
    <w:abstractNumId w:val="52"/>
  </w:num>
  <w:num w:numId="47">
    <w:abstractNumId w:val="5"/>
  </w:num>
  <w:num w:numId="48">
    <w:abstractNumId w:val="63"/>
  </w:num>
  <w:num w:numId="49">
    <w:abstractNumId w:val="57"/>
  </w:num>
  <w:num w:numId="50">
    <w:abstractNumId w:val="39"/>
  </w:num>
  <w:num w:numId="51">
    <w:abstractNumId w:val="78"/>
  </w:num>
  <w:num w:numId="52">
    <w:abstractNumId w:val="95"/>
  </w:num>
  <w:num w:numId="53">
    <w:abstractNumId w:val="77"/>
  </w:num>
  <w:num w:numId="54">
    <w:abstractNumId w:val="87"/>
  </w:num>
  <w:num w:numId="55">
    <w:abstractNumId w:val="6"/>
  </w:num>
  <w:num w:numId="56">
    <w:abstractNumId w:val="47"/>
  </w:num>
  <w:num w:numId="57">
    <w:abstractNumId w:val="7"/>
  </w:num>
  <w:num w:numId="58">
    <w:abstractNumId w:val="42"/>
  </w:num>
  <w:num w:numId="59">
    <w:abstractNumId w:val="29"/>
  </w:num>
  <w:num w:numId="60">
    <w:abstractNumId w:val="31"/>
  </w:num>
  <w:num w:numId="61">
    <w:abstractNumId w:val="11"/>
  </w:num>
  <w:num w:numId="62">
    <w:abstractNumId w:val="48"/>
  </w:num>
  <w:num w:numId="63">
    <w:abstractNumId w:val="66"/>
  </w:num>
  <w:num w:numId="64">
    <w:abstractNumId w:val="27"/>
  </w:num>
  <w:num w:numId="65">
    <w:abstractNumId w:val="93"/>
  </w:num>
  <w:num w:numId="66">
    <w:abstractNumId w:val="86"/>
  </w:num>
  <w:num w:numId="67">
    <w:abstractNumId w:val="4"/>
  </w:num>
  <w:num w:numId="68">
    <w:abstractNumId w:val="51"/>
  </w:num>
  <w:num w:numId="69">
    <w:abstractNumId w:val="1"/>
  </w:num>
  <w:num w:numId="70">
    <w:abstractNumId w:val="81"/>
  </w:num>
  <w:num w:numId="71">
    <w:abstractNumId w:val="30"/>
  </w:num>
  <w:num w:numId="72">
    <w:abstractNumId w:val="20"/>
  </w:num>
  <w:num w:numId="73">
    <w:abstractNumId w:val="79"/>
  </w:num>
  <w:num w:numId="74">
    <w:abstractNumId w:val="53"/>
  </w:num>
  <w:num w:numId="75">
    <w:abstractNumId w:val="82"/>
  </w:num>
  <w:num w:numId="76">
    <w:abstractNumId w:val="34"/>
  </w:num>
  <w:num w:numId="77">
    <w:abstractNumId w:val="36"/>
  </w:num>
  <w:num w:numId="78">
    <w:abstractNumId w:val="54"/>
  </w:num>
  <w:num w:numId="79">
    <w:abstractNumId w:val="69"/>
  </w:num>
  <w:num w:numId="80">
    <w:abstractNumId w:val="90"/>
  </w:num>
  <w:num w:numId="81">
    <w:abstractNumId w:val="13"/>
  </w:num>
  <w:num w:numId="82">
    <w:abstractNumId w:val="67"/>
  </w:num>
  <w:num w:numId="83">
    <w:abstractNumId w:val="59"/>
  </w:num>
  <w:num w:numId="84">
    <w:abstractNumId w:val="71"/>
  </w:num>
  <w:num w:numId="85">
    <w:abstractNumId w:val="50"/>
  </w:num>
  <w:num w:numId="86">
    <w:abstractNumId w:val="89"/>
  </w:num>
  <w:num w:numId="87">
    <w:abstractNumId w:val="41"/>
  </w:num>
  <w:num w:numId="88">
    <w:abstractNumId w:val="97"/>
  </w:num>
  <w:num w:numId="89">
    <w:abstractNumId w:val="62"/>
  </w:num>
  <w:num w:numId="90">
    <w:abstractNumId w:val="40"/>
  </w:num>
  <w:num w:numId="91">
    <w:abstractNumId w:val="21"/>
  </w:num>
  <w:num w:numId="92">
    <w:abstractNumId w:val="0"/>
  </w:num>
  <w:num w:numId="93">
    <w:abstractNumId w:val="84"/>
  </w:num>
  <w:num w:numId="94">
    <w:abstractNumId w:val="24"/>
  </w:num>
  <w:num w:numId="95">
    <w:abstractNumId w:val="8"/>
  </w:num>
  <w:num w:numId="96">
    <w:abstractNumId w:val="12"/>
  </w:num>
  <w:num w:numId="97">
    <w:abstractNumId w:val="80"/>
  </w:num>
  <w:num w:numId="98">
    <w:abstractNumId w:val="32"/>
  </w:num>
  <w:num w:numId="99">
    <w:abstractNumId w:val="8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116D0F"/>
    <w:rsid w:val="002111FD"/>
    <w:rsid w:val="002632EE"/>
    <w:rsid w:val="002E2E40"/>
    <w:rsid w:val="0030750B"/>
    <w:rsid w:val="00520103"/>
    <w:rsid w:val="00534EC3"/>
    <w:rsid w:val="007B68A2"/>
    <w:rsid w:val="008E597C"/>
    <w:rsid w:val="009D6A90"/>
    <w:rsid w:val="00A52AD9"/>
    <w:rsid w:val="00A63F57"/>
    <w:rsid w:val="00A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2006</Words>
  <Characters>13849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2016-04-29T09:15:00Z</dcterms:created>
  <dcterms:modified xsi:type="dcterms:W3CDTF">2016-04-29T09:15:00Z</dcterms:modified>
</cp:coreProperties>
</file>