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AE" w:rsidRDefault="004A46AE" w:rsidP="004A46AE">
      <w:pPr>
        <w:jc w:val="right"/>
        <w:rPr>
          <w:sz w:val="24"/>
        </w:rPr>
      </w:pPr>
      <w:r>
        <w:rPr>
          <w:sz w:val="24"/>
        </w:rPr>
        <w:t>7</w:t>
      </w:r>
      <w:proofErr w:type="gramStart"/>
      <w:r>
        <w:rPr>
          <w:sz w:val="24"/>
        </w:rPr>
        <w:t>.melléklet</w:t>
      </w:r>
      <w:proofErr w:type="gramEnd"/>
      <w:r>
        <w:rPr>
          <w:sz w:val="24"/>
        </w:rPr>
        <w:t xml:space="preserve"> a 6/2014.(II.28.) önkormányzati rendelethez</w:t>
      </w:r>
    </w:p>
    <w:p w:rsidR="004A46AE" w:rsidRDefault="004A46AE" w:rsidP="004A46AE">
      <w:pPr>
        <w:jc w:val="right"/>
        <w:rPr>
          <w:sz w:val="24"/>
        </w:rPr>
      </w:pPr>
    </w:p>
    <w:p w:rsidR="004A46AE" w:rsidRDefault="004A46AE" w:rsidP="004A46AE">
      <w:pPr>
        <w:jc w:val="right"/>
        <w:rPr>
          <w:sz w:val="24"/>
        </w:rPr>
      </w:pPr>
    </w:p>
    <w:p w:rsidR="004A46AE" w:rsidRDefault="004A46AE" w:rsidP="004A46AE">
      <w:pPr>
        <w:pStyle w:val="Tblzatfejlc"/>
        <w:suppressLineNumbers w:val="0"/>
        <w:rPr>
          <w:u w:val="single"/>
        </w:rPr>
      </w:pPr>
      <w:r>
        <w:rPr>
          <w:u w:val="single"/>
        </w:rPr>
        <w:t xml:space="preserve">Császár Község Önkormányzata adósságot keletkeztető ügyleteinek </w:t>
      </w:r>
    </w:p>
    <w:p w:rsidR="004A46AE" w:rsidRDefault="004A46AE" w:rsidP="004A46AE">
      <w:pPr>
        <w:jc w:val="center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és</w:t>
      </w:r>
      <w:proofErr w:type="gramEnd"/>
      <w:r>
        <w:rPr>
          <w:b/>
          <w:sz w:val="24"/>
          <w:u w:val="single"/>
        </w:rPr>
        <w:t xml:space="preserve"> a stabilizációs törvény szerinti saját bevételeinek alakulása</w:t>
      </w:r>
    </w:p>
    <w:p w:rsidR="004A46AE" w:rsidRDefault="004A46AE" w:rsidP="004A46AE">
      <w:pPr>
        <w:rPr>
          <w:sz w:val="24"/>
          <w:u w:val="single"/>
        </w:rPr>
      </w:pPr>
    </w:p>
    <w:p w:rsidR="004A46AE" w:rsidRDefault="004A46AE" w:rsidP="004A46AE">
      <w:pPr>
        <w:pStyle w:val="Szvegtrzs"/>
        <w:jc w:val="right"/>
        <w:rPr>
          <w:sz w:val="24"/>
        </w:rPr>
      </w:pPr>
      <w:proofErr w:type="spellStart"/>
      <w:r>
        <w:rPr>
          <w:sz w:val="24"/>
        </w:rP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1984"/>
        <w:gridCol w:w="1985"/>
        <w:gridCol w:w="2050"/>
      </w:tblGrid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b/>
                <w:sz w:val="24"/>
              </w:rPr>
            </w:pPr>
            <w:r>
              <w:rPr>
                <w:b/>
                <w:sz w:val="24"/>
              </w:rPr>
              <w:t>Saját bevételek</w:t>
            </w:r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2014.év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2015. év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2016. év</w:t>
            </w:r>
          </w:p>
        </w:tc>
      </w:tr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Helyi adók, pótlékok</w:t>
            </w:r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22.757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23.000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23.500</w:t>
            </w:r>
          </w:p>
        </w:tc>
      </w:tr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Gépjárműadó</w:t>
            </w:r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4.200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4.500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4.700</w:t>
            </w:r>
          </w:p>
        </w:tc>
      </w:tr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Kamatbevétel</w:t>
            </w:r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Helyszíni és </w:t>
            </w:r>
            <w:proofErr w:type="spellStart"/>
            <w:r>
              <w:rPr>
                <w:sz w:val="24"/>
              </w:rPr>
              <w:t>szabálysért</w:t>
            </w:r>
            <w:proofErr w:type="gramStart"/>
            <w:r>
              <w:rPr>
                <w:sz w:val="24"/>
              </w:rPr>
              <w:t>.bírság</w:t>
            </w:r>
            <w:proofErr w:type="spellEnd"/>
            <w:proofErr w:type="gramEnd"/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Talajterhelési díj</w:t>
            </w:r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Egyéb sajátos bevétel</w:t>
            </w:r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1.746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1.900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right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</w:tr>
      <w:tr w:rsidR="004A46AE" w:rsidTr="002A668F">
        <w:tc>
          <w:tcPr>
            <w:tcW w:w="3189" w:type="dxa"/>
          </w:tcPr>
          <w:p w:rsidR="004A46AE" w:rsidRDefault="004A46AE" w:rsidP="002A668F">
            <w:pPr>
              <w:pStyle w:val="Szvegtrzs"/>
              <w:rPr>
                <w:b/>
                <w:sz w:val="24"/>
              </w:rPr>
            </w:pPr>
            <w:r>
              <w:rPr>
                <w:b/>
                <w:sz w:val="24"/>
              </w:rPr>
              <w:t>Bevételek összesen</w:t>
            </w:r>
          </w:p>
        </w:tc>
        <w:tc>
          <w:tcPr>
            <w:tcW w:w="1984" w:type="dxa"/>
          </w:tcPr>
          <w:p w:rsidR="004A46AE" w:rsidRDefault="004A46AE" w:rsidP="002A668F">
            <w:pPr>
              <w:pStyle w:val="Szvegtrzs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29.233</w:t>
            </w:r>
          </w:p>
        </w:tc>
        <w:tc>
          <w:tcPr>
            <w:tcW w:w="1985" w:type="dxa"/>
          </w:tcPr>
          <w:p w:rsidR="004A46AE" w:rsidRDefault="004A46AE" w:rsidP="002A668F">
            <w:pPr>
              <w:pStyle w:val="Szvegtrzs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29.950</w:t>
            </w:r>
          </w:p>
        </w:tc>
        <w:tc>
          <w:tcPr>
            <w:tcW w:w="2050" w:type="dxa"/>
          </w:tcPr>
          <w:p w:rsidR="004A46AE" w:rsidRDefault="004A46AE" w:rsidP="002A668F">
            <w:pPr>
              <w:pStyle w:val="Szvegtrzs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30.870</w:t>
            </w:r>
          </w:p>
        </w:tc>
      </w:tr>
    </w:tbl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6AE"/>
    <w:rsid w:val="004A46AE"/>
    <w:rsid w:val="0097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4A46AE"/>
    <w:pPr>
      <w:suppressAutoHyphens/>
      <w:spacing w:line="360" w:lineRule="auto"/>
    </w:pPr>
    <w:rPr>
      <w:sz w:val="40"/>
    </w:rPr>
  </w:style>
  <w:style w:type="character" w:customStyle="1" w:styleId="SzvegtrzsChar">
    <w:name w:val="Szövegtörzs Char"/>
    <w:basedOn w:val="Bekezdsalapbettpusa"/>
    <w:link w:val="Szvegtrzs"/>
    <w:semiHidden/>
    <w:rsid w:val="004A46AE"/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customStyle="1" w:styleId="Tblzatfejlc">
    <w:name w:val="Táblázatfejléc"/>
    <w:basedOn w:val="Norml"/>
    <w:rsid w:val="004A46AE"/>
    <w:pPr>
      <w:suppressLineNumbers/>
      <w:suppressAutoHyphens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2014-03-04T10:58:00Z</dcterms:created>
  <dcterms:modified xsi:type="dcterms:W3CDTF">2014-03-04T10:58:00Z</dcterms:modified>
</cp:coreProperties>
</file>