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0C" w:rsidRPr="003D492B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1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számú melléklet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a 2/2014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. (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I.31.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) önkormányzati rendelethez</w:t>
      </w: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Pr="003D492B" w:rsidRDefault="00672A0C" w:rsidP="00672A0C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A</w:t>
      </w:r>
      <w:r w:rsidRPr="001648E1">
        <w:rPr>
          <w:rFonts w:ascii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z </w:t>
      </w:r>
      <w:proofErr w:type="gramStart"/>
      <w:r w:rsidRPr="001648E1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Önkormányzat</w:t>
      </w:r>
      <w:proofErr w:type="gramEnd"/>
      <w:r w:rsidRPr="001648E1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 xml:space="preserve"> ill. Kirendeltség bélyegzőinek lenyomata</w:t>
      </w: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Pr="003D492B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>2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számú melléklet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a 2/2014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. (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I.31.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) önkormányzati rendelethez</w:t>
      </w: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</w:pPr>
    </w:p>
    <w:p w:rsidR="00672A0C" w:rsidRPr="003D492B" w:rsidRDefault="00672A0C" w:rsidP="00672A0C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A képviselő-testület által a polgármesterre átruházott hatáskörök: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672A0C" w:rsidRPr="003D492B" w:rsidRDefault="00672A0C" w:rsidP="00672A0C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Tényő Község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Önkorm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ányzata Képviselő-testületének 20/2013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>. (X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II.22.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) rendelete az egyes szociális ellátási formák szabályozásáról: </w:t>
      </w: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080813">
        <w:rPr>
          <w:rFonts w:ascii="Times New Roman" w:hAnsi="Times New Roman"/>
          <w:color w:val="000000"/>
          <w:sz w:val="24"/>
          <w:szCs w:val="24"/>
          <w:lang w:eastAsia="hu-HU"/>
        </w:rPr>
        <w:t>10.§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Önkormányzati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segély elbírálása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temetési célra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672A0C" w:rsidRPr="003D492B" w:rsidRDefault="00672A0C" w:rsidP="00672A0C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080813">
        <w:rPr>
          <w:rFonts w:ascii="Times New Roman" w:hAnsi="Times New Roman"/>
          <w:color w:val="000000"/>
          <w:sz w:val="24"/>
          <w:szCs w:val="24"/>
          <w:lang w:eastAsia="hu-HU"/>
        </w:rPr>
        <w:t>15.§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Méltányossági közgyógyellátás</w:t>
      </w:r>
    </w:p>
    <w:p w:rsidR="00672A0C" w:rsidRPr="003D492B" w:rsidRDefault="00672A0C" w:rsidP="00672A0C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       </w:t>
      </w: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br w:type="page"/>
      </w:r>
    </w:p>
    <w:p w:rsidR="00672A0C" w:rsidRPr="003D492B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>3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számú melléklet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a 2/2014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. (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I.31.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) önkormányzati rendelethez</w:t>
      </w:r>
      <w:r>
        <w:rPr>
          <w:rStyle w:val="Lbjegyzet-hivatkozs"/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</w:pPr>
    </w:p>
    <w:p w:rsidR="00672A0C" w:rsidRPr="003D492B" w:rsidRDefault="00672A0C" w:rsidP="00672A0C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 xml:space="preserve">A Hivatal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 xml:space="preserve">Kirendeltségének </w:t>
      </w: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 xml:space="preserve"> ügyfélfogadási</w:t>
      </w:r>
      <w:proofErr w:type="gramEnd"/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 xml:space="preserve"> ideje: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672A0C" w:rsidRPr="003D492B" w:rsidRDefault="00672A0C" w:rsidP="00672A0C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Ügyfélfogadás: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096"/>
        <w:gridCol w:w="4177"/>
      </w:tblGrid>
      <w:tr w:rsidR="00672A0C" w:rsidRPr="0037429F" w:rsidTr="007B18EF">
        <w:trPr>
          <w:tblCellSpacing w:w="15" w:type="dxa"/>
        </w:trPr>
        <w:tc>
          <w:tcPr>
            <w:tcW w:w="244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hétfő, kedd, szerda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,csütörtök</w:t>
            </w:r>
            <w:proofErr w:type="gramEnd"/>
          </w:p>
        </w:tc>
        <w:tc>
          <w:tcPr>
            <w:tcW w:w="2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8:00-12:00 és 13:00-16:00</w:t>
            </w:r>
          </w:p>
        </w:tc>
      </w:tr>
      <w:tr w:rsidR="00672A0C" w:rsidRPr="0037429F" w:rsidTr="007B18EF">
        <w:trPr>
          <w:tblCellSpacing w:w="15" w:type="dxa"/>
        </w:trPr>
        <w:tc>
          <w:tcPr>
            <w:tcW w:w="244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2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8:00-13:30</w:t>
            </w:r>
          </w:p>
        </w:tc>
      </w:tr>
    </w:tbl>
    <w:p w:rsidR="00672A0C" w:rsidRPr="003D492B" w:rsidRDefault="00672A0C" w:rsidP="00672A0C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A jegyző fogadóórája: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096"/>
        <w:gridCol w:w="4177"/>
      </w:tblGrid>
      <w:tr w:rsidR="00672A0C" w:rsidRPr="0037429F" w:rsidTr="007B18EF">
        <w:trPr>
          <w:tblCellSpacing w:w="15" w:type="dxa"/>
        </w:trPr>
        <w:tc>
          <w:tcPr>
            <w:tcW w:w="244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2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8:00-12:00 és 13:00-16:00</w:t>
            </w:r>
          </w:p>
        </w:tc>
      </w:tr>
    </w:tbl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Pr="003D492B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br w:type="page"/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>4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számú melléklet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a 2/2014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. (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I.31.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) önkormányzati rendelethez</w:t>
      </w: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Vagyonnyilatkozat tételi kötelezettséggel járó köztisztviselői munkakörök </w:t>
      </w: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proofErr w:type="gramStart"/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az</w:t>
      </w:r>
      <w:proofErr w:type="gramEnd"/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 egyes vagyonnyilatkozat-tételi kötelezettségekről szóló </w:t>
      </w: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2007. évi CLII. törvény 5. § (1) bekezdése alapján:</w:t>
      </w:r>
    </w:p>
    <w:p w:rsidR="00672A0C" w:rsidRPr="00672D0B" w:rsidRDefault="00672A0C" w:rsidP="00672A0C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FF"/>
          <w:sz w:val="24"/>
          <w:szCs w:val="24"/>
          <w:lang w:eastAsia="hu-HU"/>
        </w:rPr>
      </w:pPr>
    </w:p>
    <w:tbl>
      <w:tblPr>
        <w:tblW w:w="46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536"/>
        <w:gridCol w:w="2073"/>
        <w:gridCol w:w="2940"/>
      </w:tblGrid>
      <w:tr w:rsidR="00672A0C" w:rsidRPr="0037429F" w:rsidTr="007B18EF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A kötelezettséget megállapító jogszabály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Munkakör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Vagyonnyilatkozat-tételi kötelezettség gyakorisága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72A0C" w:rsidRPr="0037429F" w:rsidTr="007B18EF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Az egyes vagyonnyilatkozat-tételi kötelezettségekről szóló 2007. évi CLII. törvény 5. § (1) </w:t>
            </w:r>
            <w:proofErr w:type="spellStart"/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ca</w:t>
            </w:r>
            <w:proofErr w:type="spellEnd"/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)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jegyző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1 év </w:t>
            </w:r>
          </w:p>
        </w:tc>
      </w:tr>
      <w:tr w:rsidR="00672A0C" w:rsidRPr="0037429F" w:rsidTr="007B18EF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Az egyes vagyonnyilatkozat-tételi kötelezettségekről szóló 2007. évi CLII. törvény 5. § (1) </w:t>
            </w:r>
            <w:proofErr w:type="spellStart"/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cc</w:t>
            </w:r>
            <w:proofErr w:type="spellEnd"/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)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igazgatási előadó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5 év </w:t>
            </w:r>
          </w:p>
        </w:tc>
      </w:tr>
      <w:tr w:rsidR="00672A0C" w:rsidRPr="0037429F" w:rsidTr="007B18EF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Az egyes vagyonnyilatkozat-tételi kötelezettségekről szóló 2007. évi CLII. törvény 5. § (1) </w:t>
            </w:r>
            <w:proofErr w:type="spellStart"/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cb</w:t>
            </w:r>
            <w:proofErr w:type="spellEnd"/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)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gazdálkodási előadó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2 év </w:t>
            </w:r>
          </w:p>
        </w:tc>
      </w:tr>
      <w:tr w:rsidR="00672A0C" w:rsidRPr="0037429F" w:rsidTr="007B18EF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Az egyes vagyonnyilatkozat-tételi kötelezettségekről szóló 2007. évi CLII. törvény 5. § (1) </w:t>
            </w:r>
            <w:proofErr w:type="spellStart"/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cc</w:t>
            </w:r>
            <w:proofErr w:type="spellEnd"/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)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adóügyi előadó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5 év </w:t>
            </w:r>
          </w:p>
        </w:tc>
      </w:tr>
    </w:tbl>
    <w:p w:rsidR="00672A0C" w:rsidRDefault="00672A0C" w:rsidP="00672A0C">
      <w:pPr>
        <w:shd w:val="clear" w:color="auto" w:fill="FFFFFF"/>
        <w:spacing w:before="100" w:beforeAutospacing="1" w:after="100" w:afterAutospacing="1" w:line="236" w:lineRule="atLeast"/>
        <w:jc w:val="right"/>
        <w:rPr>
          <w:rFonts w:ascii="Times New Roman" w:hAnsi="Times New Roman"/>
          <w:bCs/>
          <w:color w:val="000000"/>
          <w:sz w:val="24"/>
          <w:szCs w:val="24"/>
          <w:lang w:eastAsia="hu-HU"/>
        </w:rPr>
      </w:pPr>
    </w:p>
    <w:p w:rsidR="00672A0C" w:rsidRPr="00005B9D" w:rsidRDefault="00672A0C" w:rsidP="00672A0C">
      <w:pPr>
        <w:shd w:val="clear" w:color="auto" w:fill="FFFFFF"/>
        <w:spacing w:before="100" w:beforeAutospacing="1" w:after="100" w:afterAutospacing="1" w:line="236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br w:type="page"/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lastRenderedPageBreak/>
        <w:t>5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 xml:space="preserve">. sz. melléklet a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2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/201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4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. (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I.31.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 xml:space="preserve">) önkormányzati rendelethez </w:t>
      </w:r>
    </w:p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973"/>
        <w:gridCol w:w="2403"/>
        <w:gridCol w:w="2390"/>
        <w:gridCol w:w="2383"/>
      </w:tblGrid>
      <w:tr w:rsidR="00672A0C" w:rsidRPr="00A1325A" w:rsidTr="007B18EF">
        <w:trPr>
          <w:trHeight w:val="570"/>
        </w:trPr>
        <w:tc>
          <w:tcPr>
            <w:tcW w:w="91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A0C" w:rsidRPr="00A1325A" w:rsidRDefault="00672A0C" w:rsidP="007B18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5431AD">
              <w:rPr>
                <w:rFonts w:ascii="Times New Roman" w:hAnsi="Times New Roman"/>
                <w:sz w:val="20"/>
                <w:szCs w:val="20"/>
                <w:lang w:eastAsia="hu-HU"/>
              </w:rPr>
              <w:t>ÓVODA</w:t>
            </w:r>
            <w:r w:rsidRPr="00A1325A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672A0C" w:rsidRPr="00A1325A" w:rsidTr="007B18EF">
        <w:trPr>
          <w:trHeight w:val="570"/>
        </w:trPr>
        <w:tc>
          <w:tcPr>
            <w:tcW w:w="91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A0C" w:rsidRPr="00A1325A" w:rsidRDefault="00672A0C" w:rsidP="007B18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KORMÁNYZATI FUNKCIÓ</w:t>
            </w:r>
          </w:p>
        </w:tc>
      </w:tr>
      <w:tr w:rsidR="00672A0C" w:rsidRPr="00A1325A" w:rsidTr="007B18EF">
        <w:trPr>
          <w:trHeight w:val="405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672A0C" w:rsidRPr="00A1325A" w:rsidRDefault="00672A0C" w:rsidP="007B18EF">
            <w:pPr>
              <w:spacing w:after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:rsidR="00672A0C" w:rsidRPr="00A1325A" w:rsidRDefault="00672A0C" w:rsidP="007B18EF">
            <w:pPr>
              <w:spacing w:after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672A0C" w:rsidRPr="00A1325A" w:rsidRDefault="00672A0C" w:rsidP="007B18EF">
            <w:pPr>
              <w:spacing w:after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2A0C" w:rsidRPr="00A1325A" w:rsidRDefault="00672A0C" w:rsidP="007B18EF">
            <w:pPr>
              <w:spacing w:after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672A0C" w:rsidRPr="00A1325A" w:rsidTr="007B18EF">
        <w:trPr>
          <w:trHeight w:val="420"/>
        </w:trPr>
        <w:tc>
          <w:tcPr>
            <w:tcW w:w="197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672A0C" w:rsidRPr="00A1325A" w:rsidRDefault="00672A0C" w:rsidP="007B18EF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7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</w:tcPr>
          <w:p w:rsidR="00672A0C" w:rsidRPr="00A1325A" w:rsidRDefault="00672A0C" w:rsidP="007B18EF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  <w:t>Kormányzati funkció elnevezése</w:t>
            </w:r>
          </w:p>
        </w:tc>
      </w:tr>
      <w:tr w:rsidR="00672A0C" w:rsidRPr="0045274C" w:rsidTr="007B18EF">
        <w:trPr>
          <w:trHeight w:val="420"/>
        </w:trPr>
        <w:tc>
          <w:tcPr>
            <w:tcW w:w="197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72A0C" w:rsidRPr="0045274C" w:rsidRDefault="00672A0C" w:rsidP="007B18E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091110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72A0C" w:rsidRPr="0045274C" w:rsidRDefault="00672A0C" w:rsidP="007B18E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Óvodai nevelés, ellátás szakmai feladatai</w:t>
            </w: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           </w:t>
            </w:r>
          </w:p>
        </w:tc>
      </w:tr>
      <w:tr w:rsidR="00672A0C" w:rsidRPr="0045274C" w:rsidTr="007B18EF">
        <w:trPr>
          <w:trHeight w:val="420"/>
        </w:trPr>
        <w:tc>
          <w:tcPr>
            <w:tcW w:w="197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72A0C" w:rsidRPr="0045274C" w:rsidRDefault="00672A0C" w:rsidP="007B18E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091140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72A0C" w:rsidRPr="0045274C" w:rsidRDefault="00672A0C" w:rsidP="007B18E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</w:t>
            </w: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Óvodai nevelés, ellátás működtetési feladatai</w:t>
            </w: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    </w:t>
            </w:r>
          </w:p>
        </w:tc>
      </w:tr>
      <w:tr w:rsidR="00672A0C" w:rsidRPr="0045274C" w:rsidTr="007B18EF">
        <w:trPr>
          <w:trHeight w:val="529"/>
        </w:trPr>
        <w:tc>
          <w:tcPr>
            <w:tcW w:w="197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72A0C" w:rsidRPr="000C1580" w:rsidRDefault="00672A0C" w:rsidP="007B18EF">
            <w:pPr>
              <w:spacing w:after="100" w:afterAutospacing="1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091120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72A0C" w:rsidRPr="000C1580" w:rsidRDefault="00672A0C" w:rsidP="007B18EF">
            <w:pPr>
              <w:autoSpaceDE w:val="0"/>
              <w:autoSpaceDN w:val="0"/>
              <w:spacing w:after="100" w:afterAutospacing="1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Sajátos nevelési igényű gyermekek óvodai nevelésének, ellátásának szakmai feladatai</w:t>
            </w:r>
          </w:p>
        </w:tc>
      </w:tr>
      <w:tr w:rsidR="00672A0C" w:rsidRPr="0045274C" w:rsidTr="007B18EF">
        <w:trPr>
          <w:trHeight w:val="420"/>
        </w:trPr>
        <w:tc>
          <w:tcPr>
            <w:tcW w:w="197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72A0C" w:rsidRPr="0045274C" w:rsidRDefault="00672A0C" w:rsidP="007B18E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096010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72A0C" w:rsidRPr="0045274C" w:rsidRDefault="00672A0C" w:rsidP="007B18E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Óvodai intézményi étkeztetés</w:t>
            </w: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                 </w:t>
            </w:r>
          </w:p>
        </w:tc>
      </w:tr>
    </w:tbl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5A2444" w:rsidRDefault="005A2444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5A2444" w:rsidRDefault="005A2444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tbl>
      <w:tblPr>
        <w:tblW w:w="88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620"/>
        <w:gridCol w:w="7200"/>
      </w:tblGrid>
      <w:tr w:rsidR="005A2444" w:rsidRPr="00005B9D" w:rsidTr="00D05599">
        <w:trPr>
          <w:trHeight w:val="435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A2444" w:rsidRPr="00005B9D" w:rsidRDefault="005A2444" w:rsidP="00D0559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lastRenderedPageBreak/>
              <w:t>6. számú melléklet a 3/2014.(II.28.</w:t>
            </w:r>
            <w:r w:rsidRPr="00005B9D">
              <w:rPr>
                <w:rFonts w:ascii="Times New Roman" w:hAnsi="Times New Roman"/>
                <w:sz w:val="24"/>
                <w:szCs w:val="24"/>
                <w:lang w:eastAsia="hu-HU"/>
              </w:rPr>
              <w:t>) önkormányzati rendelethez</w:t>
            </w:r>
            <w:r>
              <w:rPr>
                <w:rStyle w:val="Lbjegyzet-hivatkozs"/>
                <w:rFonts w:ascii="Times New Roman" w:hAnsi="Times New Roman"/>
                <w:sz w:val="24"/>
                <w:szCs w:val="24"/>
                <w:lang w:eastAsia="hu-HU"/>
              </w:rPr>
              <w:footnoteReference w:id="1"/>
            </w:r>
          </w:p>
        </w:tc>
      </w:tr>
      <w:tr w:rsidR="005A2444" w:rsidRPr="00F009C3" w:rsidTr="00D05599">
        <w:trPr>
          <w:trHeight w:val="390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2444" w:rsidRPr="00F009C3" w:rsidRDefault="005A2444" w:rsidP="00D055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TÉNYŐ</w:t>
            </w:r>
            <w:r w:rsidRPr="00F009C3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KÖZSÉG</w:t>
            </w: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ÖNKORMÁNYZATA</w:t>
            </w:r>
          </w:p>
        </w:tc>
      </w:tr>
      <w:tr w:rsidR="005A2444" w:rsidRPr="00F009C3" w:rsidTr="00D05599">
        <w:trPr>
          <w:trHeight w:val="319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2444" w:rsidRPr="00F009C3" w:rsidRDefault="005A2444" w:rsidP="00D055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KORMÁNYZATI FUNKCIÓI</w:t>
            </w:r>
          </w:p>
        </w:tc>
      </w:tr>
      <w:tr w:rsidR="005A2444" w:rsidRPr="00A812C6" w:rsidTr="00D05599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2444" w:rsidRPr="00A812C6" w:rsidRDefault="005A2444" w:rsidP="00D05599">
            <w:pPr>
              <w:spacing w:after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2444" w:rsidRPr="00A812C6" w:rsidRDefault="005A2444" w:rsidP="00D0559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5A2444" w:rsidRPr="00A812C6" w:rsidTr="00D05599">
        <w:trPr>
          <w:trHeight w:val="630"/>
        </w:trPr>
        <w:tc>
          <w:tcPr>
            <w:tcW w:w="162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5A2444" w:rsidRPr="00A812C6" w:rsidRDefault="005A2444" w:rsidP="00D05599">
            <w:pPr>
              <w:spacing w:after="0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72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5A2444" w:rsidRPr="00A812C6" w:rsidRDefault="005A2444" w:rsidP="00D05599">
            <w:pPr>
              <w:spacing w:after="0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  <w:t>Kormányzati funkció megnevezés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 w:rsidRPr="00E75162"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011</w:t>
            </w: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1</w:t>
            </w:r>
            <w:r w:rsidRPr="00E75162"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Adó-, vám- és jövedéki igazgatás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Köztemető-fenntartás és –működtetés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Az Önkormányzati vagyonnal való gazdálkodással kapcsolatos feladatok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016010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Országgyűlési, önkormányzati és európai parlamenti képviselőválasztásokhoz kapcsolódó tevékenységek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016020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Országos és helyi népszavazással kapcsolatos tevékenységek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041231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Rövid időtartalmú közfoglalkoztatás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Start-munka program – Téli közfoglalkoztatás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Hosszabb időtartalmú közfoglalkoztatás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Közutak, hidak, alagutak üzemeltetés, fenntartása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051040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Nem veszélyes hulladék kezelése, ártalmatlanítása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Közvilágítás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Zöldterület-kezelés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Város-, községgazdálkodási egyéb szolgáltatások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Háziorvosi alapellátás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074013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 xml:space="preserve">Pálya- és munka alkalmassági vizsgálatok 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Ifjúság- egészségügyi gondozás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081030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Sportlétesítmények, edzőtáborok működtetése és fejlesztése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081043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Iskolai, diáksport-tevékenység és támogatása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082042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Könyvtári állomány gyarapítása, nyilvántartása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082091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Közművelődés – közösségi és társadalmi részvétel fejlesztése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091212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Sajátos nevelési igényű tanulók nappali rendszerű nevelésének, oktatásának szakmai feladatai 1-4. évfolyamon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091220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Köznevelési intézmény 1-4. évfolyamán tanulók nevelésével, oktatásával összefüggő működtetési feladatok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092112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Sajátos nevelési igényű tanulók nappali rendszerű nevelésének, oktatásának szakmai feladatai 5-8. évfolyamon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092120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Köznevelési intézmény 5-8. évfolyamán tanulók nevelésével, oktatásával összefüggő működtetési feladatok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096020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Iskolai intézményi étkeztetés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102030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 xml:space="preserve">Idősek,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demens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 xml:space="preserve"> betegek nappali ellátása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104030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Gyermekek napközbeni ellátása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Szociális étkeztetés</w:t>
            </w:r>
          </w:p>
        </w:tc>
      </w:tr>
      <w:tr w:rsidR="005A2444" w:rsidRPr="00E75162" w:rsidTr="00D05599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5A2444" w:rsidRPr="00E75162" w:rsidRDefault="005A2444" w:rsidP="00D0559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Házi segítségnyújtás</w:t>
            </w:r>
          </w:p>
        </w:tc>
      </w:tr>
    </w:tbl>
    <w:p w:rsidR="005A2444" w:rsidRDefault="005A2444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7. számú melléklet a 2/2014</w:t>
      </w:r>
      <w:r w:rsidRPr="00005B9D">
        <w:rPr>
          <w:rFonts w:ascii="Times New Roman" w:hAnsi="Times New Roman"/>
          <w:sz w:val="24"/>
          <w:szCs w:val="24"/>
          <w:lang w:eastAsia="hu-HU"/>
        </w:rPr>
        <w:t>.(</w:t>
      </w:r>
      <w:r>
        <w:rPr>
          <w:rFonts w:ascii="Times New Roman" w:hAnsi="Times New Roman"/>
          <w:sz w:val="24"/>
          <w:szCs w:val="24"/>
          <w:lang w:eastAsia="hu-HU"/>
        </w:rPr>
        <w:t>I.31.</w:t>
      </w:r>
      <w:r w:rsidRPr="00005B9D">
        <w:rPr>
          <w:rFonts w:ascii="Times New Roman" w:hAnsi="Times New Roman"/>
          <w:sz w:val="24"/>
          <w:szCs w:val="24"/>
          <w:lang w:eastAsia="hu-HU"/>
        </w:rPr>
        <w:t>) önkormányzati rendelethez</w:t>
      </w:r>
    </w:p>
    <w:p w:rsidR="00672A0C" w:rsidRPr="003D492B" w:rsidRDefault="00672A0C" w:rsidP="00672A0C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Az Ügyrendi Bizottság feladata és hatásköre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672A0C" w:rsidRPr="003D492B" w:rsidRDefault="00672A0C" w:rsidP="00672A0C">
      <w:p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képviselő-testület 1 elnökből és 2 tagból álló Ügyrendi Bizottságot választ. </w:t>
      </w:r>
    </w:p>
    <w:p w:rsidR="00672A0C" w:rsidRPr="003D492B" w:rsidRDefault="00672A0C" w:rsidP="00672A0C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Feladata, hatásköre: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672A0C" w:rsidRPr="00BD2D58" w:rsidRDefault="00672A0C" w:rsidP="00672A0C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D2D5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polgármesteri, alpolgármesteri tisztség egyidejű betöltetlensége, illetve tartós akadályoztatásuk esetére a képviselő-testület összehívását, az ülés vezetését az Ügyrendi Bizottság elnöke látja el. </w:t>
      </w:r>
    </w:p>
    <w:p w:rsidR="00672A0C" w:rsidRPr="00BD2D58" w:rsidRDefault="00672A0C" w:rsidP="00672A0C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D2D5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Javaslatot tesz a polgármester illetményére, jutalmára. Lefolytatja a polgármester ellen irányuló fegyelmi eljárást. </w:t>
      </w:r>
    </w:p>
    <w:p w:rsidR="00672A0C" w:rsidRPr="00BD2D58" w:rsidRDefault="00672A0C" w:rsidP="00672A0C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D2D5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Lebonyolítja a képviselő-testület titkos szavazását. </w:t>
      </w:r>
    </w:p>
    <w:p w:rsidR="00672A0C" w:rsidRPr="00BD2D58" w:rsidRDefault="00672A0C" w:rsidP="00672A0C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D2D5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Ellátja a képviselő-testület által esetenként meghatározott feladatokat. 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„</w:t>
      </w:r>
    </w:p>
    <w:p w:rsidR="00672A0C" w:rsidRPr="003D492B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br w:type="page"/>
      </w: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>1. számú függelék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a 2/2014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. (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I.31.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) önkormányzati rendelethez</w:t>
      </w: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</w:pPr>
    </w:p>
    <w:p w:rsidR="00672A0C" w:rsidRPr="003D492B" w:rsidRDefault="00672A0C" w:rsidP="00672A0C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A képviselő-testület tagjainak névsora és lakcíme: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tbl>
      <w:tblPr>
        <w:tblW w:w="46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21"/>
        <w:gridCol w:w="2480"/>
        <w:gridCol w:w="1719"/>
        <w:gridCol w:w="1550"/>
        <w:gridCol w:w="1987"/>
      </w:tblGrid>
      <w:tr w:rsidR="00672A0C" w:rsidRPr="0037429F" w:rsidTr="007B18EF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1.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Varga Gábor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polgármester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Tényő,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Győri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utca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40.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72A0C" w:rsidRPr="0037429F" w:rsidTr="007B18EF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2.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Mecséri Szabolcs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alpolgármester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Tényő,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Győri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utca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1/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.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72A0C" w:rsidRPr="0037429F" w:rsidTr="007B18EF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3.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Baranyai Krisztina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Tényő,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Hollómajor 23.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72A0C" w:rsidRPr="0037429F" w:rsidTr="007B18EF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4.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Katona József Rezső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Tényő,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Árpád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utca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19.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72A0C" w:rsidRPr="0037429F" w:rsidTr="007B18EF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5.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Kreicsné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Venesz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Dóra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Tényő,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Külső sor 22/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.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72A0C" w:rsidRPr="0037429F" w:rsidTr="007B18EF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6.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Krenács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Zoltánné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Tényő,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Győri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utca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20.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72A0C" w:rsidRPr="0037429F" w:rsidTr="007B18EF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7.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Móri Ferenc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Tényő,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Munkás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utca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23.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672A0C" w:rsidRDefault="00672A0C" w:rsidP="00672A0C">
      <w:pPr>
        <w:jc w:val="both"/>
        <w:rPr>
          <w:rFonts w:ascii="Times New Roman" w:hAnsi="Times New Roman"/>
        </w:rPr>
      </w:pPr>
    </w:p>
    <w:p w:rsidR="00672A0C" w:rsidRDefault="00672A0C" w:rsidP="00672A0C">
      <w:pPr>
        <w:jc w:val="both"/>
        <w:rPr>
          <w:rFonts w:ascii="Times New Roman" w:hAnsi="Times New Roman"/>
        </w:rPr>
      </w:pPr>
    </w:p>
    <w:p w:rsidR="00672A0C" w:rsidRDefault="00672A0C" w:rsidP="00672A0C">
      <w:pPr>
        <w:jc w:val="both"/>
        <w:rPr>
          <w:rFonts w:ascii="Times New Roman" w:hAnsi="Times New Roman"/>
        </w:rPr>
      </w:pPr>
    </w:p>
    <w:p w:rsidR="00672A0C" w:rsidRDefault="00672A0C" w:rsidP="00672A0C">
      <w:pPr>
        <w:jc w:val="both"/>
        <w:rPr>
          <w:rFonts w:ascii="Times New Roman" w:hAnsi="Times New Roman"/>
        </w:rPr>
      </w:pPr>
    </w:p>
    <w:p w:rsidR="00672A0C" w:rsidRDefault="00672A0C" w:rsidP="00672A0C">
      <w:pPr>
        <w:jc w:val="both"/>
        <w:rPr>
          <w:rFonts w:ascii="Times New Roman" w:hAnsi="Times New Roman"/>
        </w:rPr>
      </w:pPr>
    </w:p>
    <w:p w:rsidR="00672A0C" w:rsidRDefault="00672A0C" w:rsidP="00672A0C">
      <w:pPr>
        <w:jc w:val="both"/>
        <w:rPr>
          <w:rFonts w:ascii="Times New Roman" w:hAnsi="Times New Roman"/>
        </w:rPr>
      </w:pPr>
    </w:p>
    <w:p w:rsidR="00672A0C" w:rsidRDefault="00672A0C" w:rsidP="00672A0C">
      <w:pPr>
        <w:jc w:val="both"/>
        <w:rPr>
          <w:rFonts w:ascii="Times New Roman" w:hAnsi="Times New Roman"/>
        </w:rPr>
      </w:pPr>
    </w:p>
    <w:p w:rsidR="00672A0C" w:rsidRDefault="00672A0C" w:rsidP="00672A0C">
      <w:pPr>
        <w:jc w:val="both"/>
        <w:rPr>
          <w:rFonts w:ascii="Times New Roman" w:hAnsi="Times New Roman"/>
        </w:rPr>
      </w:pPr>
    </w:p>
    <w:p w:rsidR="00672A0C" w:rsidRDefault="00672A0C" w:rsidP="00672A0C">
      <w:pPr>
        <w:jc w:val="both"/>
        <w:rPr>
          <w:rFonts w:ascii="Times New Roman" w:hAnsi="Times New Roman"/>
        </w:rPr>
      </w:pPr>
    </w:p>
    <w:p w:rsidR="00672A0C" w:rsidRDefault="00672A0C" w:rsidP="00672A0C">
      <w:pPr>
        <w:jc w:val="both"/>
        <w:rPr>
          <w:rFonts w:ascii="Times New Roman" w:hAnsi="Times New Roman"/>
        </w:rPr>
      </w:pPr>
    </w:p>
    <w:p w:rsidR="00672A0C" w:rsidRDefault="00672A0C" w:rsidP="00672A0C">
      <w:pPr>
        <w:jc w:val="both"/>
        <w:rPr>
          <w:rFonts w:ascii="Times New Roman" w:hAnsi="Times New Roman"/>
        </w:rPr>
      </w:pPr>
    </w:p>
    <w:p w:rsidR="00672A0C" w:rsidRDefault="00672A0C" w:rsidP="00672A0C">
      <w:pPr>
        <w:jc w:val="both"/>
        <w:rPr>
          <w:rFonts w:ascii="Times New Roman" w:hAnsi="Times New Roman"/>
        </w:rPr>
      </w:pPr>
    </w:p>
    <w:p w:rsidR="00672A0C" w:rsidRDefault="00672A0C" w:rsidP="00672A0C">
      <w:pPr>
        <w:jc w:val="both"/>
        <w:rPr>
          <w:rFonts w:ascii="Times New Roman" w:hAnsi="Times New Roman"/>
        </w:rPr>
      </w:pPr>
    </w:p>
    <w:p w:rsidR="00672A0C" w:rsidRDefault="00672A0C" w:rsidP="00672A0C">
      <w:pPr>
        <w:jc w:val="both"/>
        <w:rPr>
          <w:rFonts w:ascii="Times New Roman" w:hAnsi="Times New Roman"/>
        </w:rPr>
      </w:pPr>
    </w:p>
    <w:p w:rsidR="00672A0C" w:rsidRDefault="00672A0C" w:rsidP="00672A0C">
      <w:pPr>
        <w:jc w:val="both"/>
        <w:rPr>
          <w:rFonts w:ascii="Times New Roman" w:hAnsi="Times New Roman"/>
        </w:rPr>
      </w:pPr>
    </w:p>
    <w:p w:rsidR="00672A0C" w:rsidRDefault="00672A0C" w:rsidP="00672A0C">
      <w:pPr>
        <w:jc w:val="both"/>
        <w:rPr>
          <w:rFonts w:ascii="Times New Roman" w:hAnsi="Times New Roman"/>
        </w:rPr>
      </w:pPr>
    </w:p>
    <w:p w:rsidR="00672A0C" w:rsidRDefault="00672A0C" w:rsidP="00672A0C">
      <w:pPr>
        <w:jc w:val="both"/>
        <w:rPr>
          <w:rFonts w:ascii="Times New Roman" w:hAnsi="Times New Roman"/>
        </w:rPr>
      </w:pPr>
    </w:p>
    <w:p w:rsidR="00672A0C" w:rsidRDefault="00672A0C" w:rsidP="00672A0C">
      <w:pPr>
        <w:jc w:val="both"/>
        <w:rPr>
          <w:rFonts w:ascii="Times New Roman" w:hAnsi="Times New Roman"/>
        </w:rPr>
      </w:pPr>
    </w:p>
    <w:p w:rsidR="00672A0C" w:rsidRDefault="00672A0C" w:rsidP="00672A0C">
      <w:pPr>
        <w:jc w:val="both"/>
        <w:rPr>
          <w:rFonts w:ascii="Times New Roman" w:hAnsi="Times New Roman"/>
        </w:rPr>
      </w:pPr>
    </w:p>
    <w:p w:rsidR="00672A0C" w:rsidRDefault="00672A0C" w:rsidP="00672A0C">
      <w:pPr>
        <w:jc w:val="both"/>
        <w:rPr>
          <w:rFonts w:ascii="Times New Roman" w:hAnsi="Times New Roman"/>
        </w:rPr>
      </w:pP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>2. számú függelék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a 2/2014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. (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I.31.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) önkormányzati rendelethez</w:t>
      </w:r>
    </w:p>
    <w:p w:rsidR="00672A0C" w:rsidRDefault="00672A0C" w:rsidP="00672A0C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</w:pPr>
    </w:p>
    <w:p w:rsidR="00672A0C" w:rsidRPr="003D492B" w:rsidRDefault="00672A0C" w:rsidP="00672A0C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A bizottság</w:t>
      </w: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 xml:space="preserve"> összetétele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672A0C" w:rsidRPr="003D492B" w:rsidRDefault="00672A0C" w:rsidP="00672A0C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Ügyrendi Bizottság: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tbl>
      <w:tblPr>
        <w:tblW w:w="36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75"/>
        <w:gridCol w:w="3014"/>
        <w:gridCol w:w="3029"/>
      </w:tblGrid>
      <w:tr w:rsidR="00672A0C" w:rsidRPr="0037429F" w:rsidTr="007B18EF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1. 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Móri Ferenc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elnök, képviselő </w:t>
            </w:r>
          </w:p>
        </w:tc>
      </w:tr>
      <w:tr w:rsidR="00672A0C" w:rsidRPr="0037429F" w:rsidTr="007B18EF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2. 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Krenács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Zoltánné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tag, képviselő </w:t>
            </w:r>
          </w:p>
        </w:tc>
      </w:tr>
      <w:tr w:rsidR="00672A0C" w:rsidRPr="0037429F" w:rsidTr="007B18EF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3. 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Kreicsné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Venesz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Dóra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2A0C" w:rsidRPr="003D492B" w:rsidRDefault="00672A0C" w:rsidP="007B18EF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tag, képviselő </w:t>
            </w:r>
          </w:p>
        </w:tc>
      </w:tr>
    </w:tbl>
    <w:p w:rsidR="00672A0C" w:rsidRDefault="00672A0C" w:rsidP="00672A0C"/>
    <w:p w:rsidR="00063BE4" w:rsidRDefault="00063BE4"/>
    <w:sectPr w:rsidR="00063BE4" w:rsidSect="00063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52D" w:rsidRDefault="00BA752D" w:rsidP="005A2444">
      <w:pPr>
        <w:spacing w:after="0" w:line="240" w:lineRule="auto"/>
      </w:pPr>
      <w:r>
        <w:separator/>
      </w:r>
    </w:p>
  </w:endnote>
  <w:endnote w:type="continuationSeparator" w:id="0">
    <w:p w:rsidR="00BA752D" w:rsidRDefault="00BA752D" w:rsidP="005A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52D" w:rsidRDefault="00BA752D" w:rsidP="005A2444">
      <w:pPr>
        <w:spacing w:after="0" w:line="240" w:lineRule="auto"/>
      </w:pPr>
      <w:r>
        <w:separator/>
      </w:r>
    </w:p>
  </w:footnote>
  <w:footnote w:type="continuationSeparator" w:id="0">
    <w:p w:rsidR="00BA752D" w:rsidRDefault="00BA752D" w:rsidP="005A2444">
      <w:pPr>
        <w:spacing w:after="0" w:line="240" w:lineRule="auto"/>
      </w:pPr>
      <w:r>
        <w:continuationSeparator/>
      </w:r>
    </w:p>
  </w:footnote>
  <w:footnote w:id="1">
    <w:p w:rsidR="005A2444" w:rsidRPr="001011D6" w:rsidRDefault="005A2444" w:rsidP="005A2444">
      <w:pPr>
        <w:pStyle w:val="Lbjegyzetszveg"/>
        <w:rPr>
          <w:rFonts w:ascii="Times New Roman" w:hAnsi="Times New Roman"/>
        </w:rPr>
      </w:pPr>
      <w:r w:rsidRPr="001011D6">
        <w:rPr>
          <w:rStyle w:val="Lbjegyzet-hivatkozs"/>
          <w:rFonts w:ascii="Times New Roman" w:hAnsi="Times New Roman"/>
        </w:rPr>
        <w:footnoteRef/>
      </w:r>
      <w:r w:rsidRPr="001011D6">
        <w:rPr>
          <w:rFonts w:ascii="Times New Roman" w:hAnsi="Times New Roman"/>
        </w:rPr>
        <w:t xml:space="preserve"> Tényő Község </w:t>
      </w:r>
      <w:proofErr w:type="gramStart"/>
      <w:r w:rsidRPr="001011D6">
        <w:rPr>
          <w:rFonts w:ascii="Times New Roman" w:hAnsi="Times New Roman"/>
        </w:rPr>
        <w:t>Önkormányzatának</w:t>
      </w:r>
      <w:proofErr w:type="gramEnd"/>
      <w:r w:rsidRPr="001011D6">
        <w:rPr>
          <w:rFonts w:ascii="Times New Roman" w:hAnsi="Times New Roman"/>
        </w:rPr>
        <w:t xml:space="preserve"> Képviselő-testületének 3/2014.(II.28.) számú önkormányzati rendelete módosította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11F5E"/>
    <w:multiLevelType w:val="hybridMultilevel"/>
    <w:tmpl w:val="8B00F64E"/>
    <w:lvl w:ilvl="0" w:tplc="72106A0C">
      <w:start w:val="1"/>
      <w:numFmt w:val="lowerLetter"/>
      <w:lvlText w:val="%1.)"/>
      <w:lvlJc w:val="left"/>
      <w:pPr>
        <w:ind w:left="780" w:hanging="420"/>
      </w:pPr>
      <w:rPr>
        <w:rFonts w:hint="default"/>
      </w:rPr>
    </w:lvl>
    <w:lvl w:ilvl="1" w:tplc="CD76DA82">
      <w:start w:val="1"/>
      <w:numFmt w:val="decimal"/>
      <w:lvlText w:val="%2.)"/>
      <w:lvlJc w:val="left"/>
      <w:pPr>
        <w:ind w:left="1545" w:hanging="46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A0C"/>
    <w:rsid w:val="00063BE4"/>
    <w:rsid w:val="002729E4"/>
    <w:rsid w:val="005A2444"/>
    <w:rsid w:val="00672A0C"/>
    <w:rsid w:val="009D5C98"/>
    <w:rsid w:val="00BA7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2A0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672A0C"/>
    <w:pPr>
      <w:ind w:left="720"/>
      <w:contextualSpacing/>
    </w:pPr>
  </w:style>
  <w:style w:type="character" w:styleId="Lbjegyzet-hivatkozs">
    <w:name w:val="footnote reference"/>
    <w:basedOn w:val="Bekezdsalapbettpusa"/>
    <w:semiHidden/>
    <w:rsid w:val="00672A0C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semiHidden/>
    <w:rsid w:val="005A244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A244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691</Words>
  <Characters>4771</Characters>
  <Application>Microsoft Office Word</Application>
  <DocSecurity>0</DocSecurity>
  <Lines>39</Lines>
  <Paragraphs>10</Paragraphs>
  <ScaleCrop>false</ScaleCrop>
  <Company>Polgármesteri Hivatal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Tényő</dc:creator>
  <cp:keywords/>
  <dc:description/>
  <cp:lastModifiedBy>Tényő</cp:lastModifiedBy>
  <cp:revision>2</cp:revision>
  <dcterms:created xsi:type="dcterms:W3CDTF">2014-10-30T14:04:00Z</dcterms:created>
  <dcterms:modified xsi:type="dcterms:W3CDTF">2014-10-30T14:51:00Z</dcterms:modified>
</cp:coreProperties>
</file>