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AF9" w:rsidRDefault="00C76AF9"/>
    <w:p w:rsidR="00C76AF9" w:rsidRDefault="00C76AF9"/>
    <w:p w:rsidR="00C76AF9" w:rsidRDefault="00C76AF9" w:rsidP="00C76AF9">
      <w:pPr>
        <w:jc w:val="center"/>
      </w:pPr>
      <w:r>
        <w:t>Indokolás</w:t>
      </w:r>
    </w:p>
    <w:p w:rsidR="00C76AF9" w:rsidRDefault="00C76AF9"/>
    <w:p w:rsidR="00C76AF9" w:rsidRPr="00C76AF9" w:rsidRDefault="00C76AF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 w:rsidRPr="00C76AF9">
        <w:rPr>
          <w:rFonts w:ascii="Bookman Old Style" w:eastAsia="Times New Roman" w:hAnsi="Bookman Old Style" w:cs="Garamond"/>
          <w:snapToGrid w:val="0"/>
          <w:lang w:eastAsia="hu-HU"/>
        </w:rPr>
        <w:t xml:space="preserve">Fonó Község Önkormányzat Képviselő-testületének </w:t>
      </w:r>
      <w:r w:rsidRPr="00C76AF9">
        <w:rPr>
          <w:rFonts w:ascii="Bookman Old Style" w:eastAsia="Times New Roman" w:hAnsi="Bookman Old Style" w:cs="Garamond"/>
          <w:snapToGrid w:val="0"/>
          <w:lang w:eastAsia="hu-HU"/>
        </w:rPr>
        <w:br/>
        <w:t>/2019. (VII</w:t>
      </w:r>
      <w:r>
        <w:rPr>
          <w:rFonts w:ascii="Bookman Old Style" w:eastAsia="Times New Roman" w:hAnsi="Bookman Old Style" w:cs="Garamond"/>
          <w:snapToGrid w:val="0"/>
          <w:lang w:eastAsia="hu-HU"/>
        </w:rPr>
        <w:t>…</w:t>
      </w:r>
      <w:r w:rsidRPr="00C76AF9">
        <w:rPr>
          <w:rFonts w:ascii="Bookman Old Style" w:eastAsia="Times New Roman" w:hAnsi="Bookman Old Style" w:cs="Garamond"/>
          <w:snapToGrid w:val="0"/>
          <w:lang w:eastAsia="hu-HU"/>
        </w:rPr>
        <w:t>) önkormányzati rendelet</w:t>
      </w:r>
      <w:r>
        <w:rPr>
          <w:rFonts w:ascii="Bookman Old Style" w:eastAsia="Times New Roman" w:hAnsi="Bookman Old Style" w:cs="Garamond"/>
          <w:snapToGrid w:val="0"/>
          <w:lang w:eastAsia="hu-HU"/>
        </w:rPr>
        <w:t>-tervezet</w:t>
      </w:r>
    </w:p>
    <w:p w:rsidR="00C76AF9" w:rsidRDefault="00C76AF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 w:rsidRP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</w:t>
      </w:r>
      <w:proofErr w:type="gramStart"/>
      <w:r w:rsidRPr="00C76AF9">
        <w:rPr>
          <w:rFonts w:ascii="Bookman Old Style" w:eastAsia="Times New Roman" w:hAnsi="Bookman Old Style" w:cs="Garamond"/>
          <w:snapToGrid w:val="0"/>
          <w:lang w:eastAsia="hu-HU"/>
        </w:rPr>
        <w:t>a  szociális</w:t>
      </w:r>
      <w:proofErr w:type="gramEnd"/>
      <w:r w:rsidRP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 ellátások helyi szabályairól szóló   2/2015 (II.27.</w:t>
      </w:r>
      <w:r w:rsidRPr="00C76AF9">
        <w:rPr>
          <w:rFonts w:ascii="Bookman Old Style" w:eastAsia="Times New Roman" w:hAnsi="Bookman Old Style" w:cs="Garamond"/>
          <w:i/>
          <w:iCs/>
          <w:snapToGrid w:val="0"/>
          <w:lang w:eastAsia="hu-HU"/>
        </w:rPr>
        <w:t>)</w:t>
      </w:r>
      <w:r w:rsidRPr="00C76AF9">
        <w:rPr>
          <w:rFonts w:ascii="Bookman Old Style" w:eastAsia="Times New Roman" w:hAnsi="Bookman Old Style" w:cs="Garamond"/>
          <w:snapToGrid w:val="0"/>
          <w:lang w:eastAsia="hu-HU"/>
        </w:rPr>
        <w:t xml:space="preserve"> önkormányzati rendelet módosításáról </w:t>
      </w:r>
      <w:r>
        <w:rPr>
          <w:rFonts w:ascii="Bookman Old Style" w:eastAsia="Times New Roman" w:hAnsi="Bookman Old Style" w:cs="Garamond"/>
          <w:snapToGrid w:val="0"/>
          <w:lang w:eastAsia="hu-HU"/>
        </w:rPr>
        <w:t>szóló rendelethez</w:t>
      </w:r>
    </w:p>
    <w:p w:rsidR="00C76AF9" w:rsidRDefault="00C76AF9" w:rsidP="00C76AF9">
      <w:pPr>
        <w:spacing w:before="240" w:after="240" w:line="240" w:lineRule="auto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C76AF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Általános Indokolás</w:t>
      </w:r>
    </w:p>
    <w:p w:rsidR="00C76AF9" w:rsidRDefault="00C76AF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A Jogalkotásról szóló 2010. évi CXXX.tv. 18. §., továbbá a z 5/2019.  (III.13.) IM. rendelet 20. §-a előírja az önkormányzati rendeletek esetében is – kivételektől eltekintve – a rendeletek indokolását és </w:t>
      </w:r>
      <w:proofErr w:type="gramStart"/>
      <w:r>
        <w:rPr>
          <w:rFonts w:ascii="Bookman Old Style" w:eastAsia="Times New Roman" w:hAnsi="Bookman Old Style" w:cs="Garamond"/>
          <w:snapToGrid w:val="0"/>
          <w:lang w:eastAsia="hu-HU"/>
        </w:rPr>
        <w:t>annak  közzétételét</w:t>
      </w:r>
      <w:proofErr w:type="gramEnd"/>
      <w:r>
        <w:rPr>
          <w:rFonts w:ascii="Bookman Old Style" w:eastAsia="Times New Roman" w:hAnsi="Bookman Old Style" w:cs="Garamond"/>
          <w:snapToGrid w:val="0"/>
          <w:lang w:eastAsia="hu-HU"/>
        </w:rPr>
        <w:t xml:space="preserve">. </w:t>
      </w: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A 2015. évben megalkotott szociális rendelet módosításának, felülvizsgálatának fő oka, hogy az önkormányzat települési támogatásokat biztosít, azokat minél szélesebb körben kívánja biztosítani a rászorultak részére, mint pl. a települési lakásfenntartási támogatást is. Ennek megfelelően a korábbi rendeletében foglalt támogatásra való jogosultságot kibővíti és a támogatás </w:t>
      </w:r>
      <w:bookmarkStart w:id="0" w:name="_GoBack"/>
      <w:bookmarkEnd w:id="0"/>
      <w:r>
        <w:rPr>
          <w:rFonts w:ascii="Bookman Old Style" w:eastAsia="Times New Roman" w:hAnsi="Bookman Old Style" w:cs="Garamond"/>
          <w:snapToGrid w:val="0"/>
          <w:lang w:eastAsia="hu-HU"/>
        </w:rPr>
        <w:t xml:space="preserve">összegét is növeli. </w:t>
      </w: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C76AF9" w:rsidP="00C76AF9">
      <w:pPr>
        <w:spacing w:before="240" w:after="240" w:line="240" w:lineRule="auto"/>
        <w:jc w:val="center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>Részletes indoklás</w:t>
      </w: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C76AF9" w:rsidP="00C76AF9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proofErr w:type="gramStart"/>
      <w:r>
        <w:rPr>
          <w:rFonts w:ascii="Bookman Old Style" w:eastAsia="Times New Roman" w:hAnsi="Bookman Old Style" w:cs="Garamond"/>
          <w:snapToGrid w:val="0"/>
          <w:lang w:eastAsia="hu-HU"/>
        </w:rPr>
        <w:t>§.-</w:t>
      </w:r>
      <w:proofErr w:type="gramEnd"/>
      <w:r>
        <w:rPr>
          <w:rFonts w:ascii="Bookman Old Style" w:eastAsia="Times New Roman" w:hAnsi="Bookman Old Style" w:cs="Garamond"/>
          <w:snapToGrid w:val="0"/>
          <w:lang w:eastAsia="hu-HU"/>
        </w:rPr>
        <w:t xml:space="preserve">hoz: Rendelkezik a lakásfenntartási támogatás jogosultsági határairól és a jogosultsági összegről, amely a korábbiakhoz képest a jogosultságot bővíti. </w:t>
      </w:r>
    </w:p>
    <w:p w:rsidR="00C76AF9" w:rsidRDefault="00C76AF9" w:rsidP="00C76AF9">
      <w:pPr>
        <w:pStyle w:val="Listaszerbekezds"/>
        <w:numPr>
          <w:ilvl w:val="0"/>
          <w:numId w:val="1"/>
        </w:num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§-hoz: A rendelet hatálybalépése, és a korábbi támogatások felülvizsgálatára vonatkozik. </w:t>
      </w: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Fonó, 2019. július 30. </w:t>
      </w:r>
    </w:p>
    <w:p w:rsidR="00C76AF9" w:rsidRDefault="00C76AF9" w:rsidP="00C76AF9">
      <w:pPr>
        <w:spacing w:before="240" w:after="240" w:line="240" w:lineRule="auto"/>
        <w:jc w:val="right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C76AF9" w:rsidP="00C76AF9">
      <w:pPr>
        <w:spacing w:before="240" w:after="240" w:line="240" w:lineRule="auto"/>
        <w:jc w:val="right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Nyerges Péter </w:t>
      </w:r>
      <w:proofErr w:type="spellStart"/>
      <w:r>
        <w:rPr>
          <w:rFonts w:ascii="Bookman Old Style" w:eastAsia="Times New Roman" w:hAnsi="Bookman Old Style" w:cs="Garamond"/>
          <w:snapToGrid w:val="0"/>
          <w:lang w:eastAsia="hu-HU"/>
        </w:rPr>
        <w:t>sk</w:t>
      </w:r>
      <w:proofErr w:type="spellEnd"/>
      <w:r>
        <w:rPr>
          <w:rFonts w:ascii="Bookman Old Style" w:eastAsia="Times New Roman" w:hAnsi="Bookman Old Style" w:cs="Garamond"/>
          <w:snapToGrid w:val="0"/>
          <w:lang w:eastAsia="hu-HU"/>
        </w:rPr>
        <w:t>.</w:t>
      </w:r>
    </w:p>
    <w:p w:rsidR="00C76AF9" w:rsidRPr="00C76AF9" w:rsidRDefault="00C76AF9" w:rsidP="00C76AF9">
      <w:pPr>
        <w:spacing w:before="240" w:after="240" w:line="240" w:lineRule="auto"/>
        <w:jc w:val="right"/>
        <w:rPr>
          <w:rFonts w:ascii="Bookman Old Style" w:eastAsia="Times New Roman" w:hAnsi="Bookman Old Style" w:cs="Garamond"/>
          <w:snapToGrid w:val="0"/>
          <w:lang w:eastAsia="hu-HU"/>
        </w:rPr>
      </w:pPr>
      <w:r>
        <w:rPr>
          <w:rFonts w:ascii="Bookman Old Style" w:eastAsia="Times New Roman" w:hAnsi="Bookman Old Style" w:cs="Garamond"/>
          <w:snapToGrid w:val="0"/>
          <w:lang w:eastAsia="hu-HU"/>
        </w:rPr>
        <w:t xml:space="preserve">polgármester </w:t>
      </w:r>
    </w:p>
    <w:p w:rsid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Pr="00C76AF9" w:rsidRDefault="00C76AF9" w:rsidP="00C76AF9">
      <w:pPr>
        <w:spacing w:before="240" w:after="240" w:line="240" w:lineRule="auto"/>
        <w:jc w:val="both"/>
        <w:rPr>
          <w:rFonts w:ascii="Bookman Old Style" w:eastAsia="Times New Roman" w:hAnsi="Bookman Old Style" w:cs="Garamond"/>
          <w:snapToGrid w:val="0"/>
          <w:lang w:eastAsia="hu-HU"/>
        </w:rPr>
      </w:pPr>
    </w:p>
    <w:p w:rsidR="00C76AF9" w:rsidRDefault="00C76AF9"/>
    <w:p w:rsidR="00C76AF9" w:rsidRDefault="00C76AF9"/>
    <w:p w:rsidR="00C76AF9" w:rsidRDefault="00C76AF9"/>
    <w:sectPr w:rsidR="00C76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22237"/>
    <w:multiLevelType w:val="hybridMultilevel"/>
    <w:tmpl w:val="F24A83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F9"/>
    <w:rsid w:val="00C7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C8F1A"/>
  <w15:chartTrackingRefBased/>
  <w15:docId w15:val="{F7F32AA1-F712-4EE1-AA77-A79B1719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76AF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76AF9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C76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152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2019-08-01T11:51:00Z</dcterms:created>
  <dcterms:modified xsi:type="dcterms:W3CDTF">2019-08-01T11:59:00Z</dcterms:modified>
</cp:coreProperties>
</file>