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D3" w:rsidRDefault="004A0FD3" w:rsidP="004A0FD3">
      <w:pPr>
        <w:pStyle w:val="Listaszerbekezds"/>
        <w:spacing w:before="100" w:beforeAutospacing="1" w:after="100" w:afterAutospacing="1" w:line="240" w:lineRule="auto"/>
        <w:jc w:val="right"/>
        <w:outlineLvl w:val="1"/>
        <w:rPr>
          <w:rFonts w:ascii="Times" w:eastAsia="Times New Roman" w:hAnsi="Times" w:cs="Times"/>
          <w:szCs w:val="36"/>
          <w:lang w:eastAsia="hu-HU"/>
        </w:rPr>
      </w:pPr>
      <w:r>
        <w:rPr>
          <w:rFonts w:ascii="Times" w:eastAsia="Times New Roman" w:hAnsi="Times" w:cs="Times"/>
          <w:szCs w:val="36"/>
          <w:lang w:eastAsia="hu-HU"/>
        </w:rPr>
        <w:t>1. melléklet a 3/2019. (II.14.) önkormányzati rendelethez</w:t>
      </w:r>
    </w:p>
    <w:p w:rsidR="004A0FD3" w:rsidRDefault="004A0FD3" w:rsidP="004A0FD3">
      <w:pPr>
        <w:pStyle w:val="Listaszerbekezds"/>
        <w:spacing w:before="100" w:beforeAutospacing="1" w:after="100" w:afterAutospacing="1" w:line="240" w:lineRule="auto"/>
        <w:jc w:val="right"/>
        <w:outlineLvl w:val="1"/>
        <w:rPr>
          <w:rFonts w:ascii="Times" w:eastAsia="Times New Roman" w:hAnsi="Times" w:cs="Times"/>
          <w:szCs w:val="36"/>
          <w:lang w:eastAsia="hu-HU"/>
        </w:rPr>
      </w:pPr>
    </w:p>
    <w:p w:rsidR="004A0FD3" w:rsidRDefault="004A0FD3" w:rsidP="004A0FD3">
      <w:pPr>
        <w:pStyle w:val="Listaszerbekezds"/>
        <w:spacing w:before="100" w:beforeAutospacing="1" w:after="100" w:afterAutospacing="1" w:line="240" w:lineRule="auto"/>
        <w:jc w:val="right"/>
        <w:outlineLvl w:val="1"/>
        <w:rPr>
          <w:rFonts w:ascii="Times" w:eastAsia="Times New Roman" w:hAnsi="Times" w:cs="Times"/>
          <w:szCs w:val="36"/>
          <w:lang w:eastAsia="hu-HU"/>
        </w:rPr>
      </w:pPr>
      <w:r>
        <w:rPr>
          <w:rFonts w:ascii="Times" w:eastAsia="Times New Roman" w:hAnsi="Times" w:cs="Times"/>
          <w:szCs w:val="36"/>
          <w:lang w:eastAsia="hu-HU"/>
        </w:rPr>
        <w:t xml:space="preserve">3. melléklet a </w:t>
      </w:r>
      <w:r w:rsidRPr="00D84AD0">
        <w:rPr>
          <w:rFonts w:ascii="Times" w:eastAsia="Times New Roman" w:hAnsi="Times" w:cs="Times"/>
          <w:szCs w:val="36"/>
          <w:lang w:eastAsia="hu-HU"/>
        </w:rPr>
        <w:t>4/2012. (III.30.) önkormányzati rendelethez</w:t>
      </w:r>
    </w:p>
    <w:p w:rsidR="004A0FD3" w:rsidRDefault="004A0FD3" w:rsidP="004A0FD3">
      <w:pPr>
        <w:pStyle w:val="Listaszerbekezds"/>
        <w:spacing w:before="100" w:beforeAutospacing="1" w:after="100" w:afterAutospacing="1" w:line="240" w:lineRule="auto"/>
        <w:jc w:val="right"/>
        <w:outlineLvl w:val="1"/>
        <w:rPr>
          <w:rFonts w:ascii="Times" w:eastAsia="Times New Roman" w:hAnsi="Times" w:cs="Times"/>
          <w:szCs w:val="36"/>
          <w:lang w:eastAsia="hu-HU"/>
        </w:rPr>
      </w:pPr>
    </w:p>
    <w:p w:rsidR="004A0FD3" w:rsidRPr="00D84AD0" w:rsidRDefault="004A0FD3" w:rsidP="004A0FD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color w:val="auto"/>
          <w:lang w:eastAsia="hu-HU"/>
        </w:rPr>
      </w:pPr>
      <w:r w:rsidRPr="00D84AD0">
        <w:rPr>
          <w:rFonts w:ascii="Times" w:eastAsia="Times New Roman" w:hAnsi="Times" w:cs="Times"/>
          <w:b/>
          <w:color w:val="auto"/>
          <w:lang w:eastAsia="hu-HU"/>
        </w:rPr>
        <w:t>Hantos Község Önkormányzat üzleti vagyona</w:t>
      </w:r>
    </w:p>
    <w:p w:rsidR="004A0FD3" w:rsidRPr="00D84AD0" w:rsidRDefault="004A0FD3" w:rsidP="004A0FD3">
      <w:pPr>
        <w:spacing w:after="20" w:line="240" w:lineRule="auto"/>
        <w:ind w:firstLine="180"/>
        <w:jc w:val="center"/>
        <w:rPr>
          <w:rFonts w:ascii="Times" w:eastAsia="Times New Roman" w:hAnsi="Times" w:cs="Times"/>
          <w:szCs w:val="36"/>
          <w:lang w:eastAsia="hu-HU"/>
        </w:rPr>
      </w:pPr>
    </w:p>
    <w:tbl>
      <w:tblPr>
        <w:tblW w:w="95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3581"/>
        <w:gridCol w:w="2694"/>
        <w:gridCol w:w="1152"/>
        <w:gridCol w:w="1356"/>
      </w:tblGrid>
      <w:tr w:rsidR="004A0FD3" w:rsidRPr="00E4078D" w:rsidTr="003815DA">
        <w:trPr>
          <w:trHeight w:val="190"/>
          <w:tblCellSpacing w:w="0" w:type="dxa"/>
          <w:jc w:val="center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before="100" w:beforeAutospacing="1" w:after="100" w:afterAutospacing="1" w:line="240" w:lineRule="auto"/>
              <w:outlineLvl w:val="1"/>
              <w:rPr>
                <w:rFonts w:ascii="Times" w:eastAsia="Times New Roman" w:hAnsi="Times" w:cs="Times"/>
                <w:b/>
                <w:color w:val="auto"/>
                <w:sz w:val="36"/>
                <w:szCs w:val="36"/>
                <w:lang w:eastAsia="hu-HU"/>
              </w:rPr>
            </w:pPr>
          </w:p>
        </w:tc>
        <w:tc>
          <w:tcPr>
            <w:tcW w:w="87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before="100" w:beforeAutospacing="1" w:after="100" w:afterAutospacing="1" w:line="190" w:lineRule="atLeast"/>
              <w:jc w:val="center"/>
              <w:outlineLvl w:val="1"/>
              <w:rPr>
                <w:rFonts w:ascii="Times" w:eastAsia="Times New Roman" w:hAnsi="Times" w:cs="Times"/>
                <w:b/>
                <w:color w:val="auto"/>
                <w:sz w:val="36"/>
                <w:szCs w:val="36"/>
                <w:lang w:eastAsia="hu-HU"/>
              </w:rPr>
            </w:pPr>
            <w:r w:rsidRPr="00E4078D">
              <w:rPr>
                <w:rFonts w:ascii="Times" w:eastAsia="Times New Roman" w:hAnsi="Times" w:cs="Times"/>
                <w:b/>
                <w:color w:val="auto"/>
                <w:sz w:val="36"/>
                <w:szCs w:val="36"/>
                <w:lang w:eastAsia="hu-HU"/>
              </w:rPr>
              <w:t>Az ingatlan</w:t>
            </w:r>
          </w:p>
        </w:tc>
      </w:tr>
      <w:tr w:rsidR="004A0FD3" w:rsidRPr="00E4078D" w:rsidTr="003815DA">
        <w:trPr>
          <w:trHeight w:val="120"/>
          <w:tblCellSpacing w:w="0" w:type="dxa"/>
          <w:jc w:val="center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0" w:line="240" w:lineRule="auto"/>
              <w:rPr>
                <w:rFonts w:ascii="Times" w:eastAsia="Times New Roman" w:hAnsi="Times" w:cs="Times"/>
                <w:b/>
                <w:color w:val="auto"/>
                <w:sz w:val="36"/>
                <w:szCs w:val="36"/>
                <w:lang w:eastAsia="hu-HU"/>
              </w:rPr>
            </w:pP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20" w:lineRule="atLeast"/>
              <w:ind w:firstLine="180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/>
                <w:color w:val="auto"/>
                <w:lang w:eastAsia="hu-HU"/>
              </w:rPr>
              <w:t>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20" w:lineRule="atLeast"/>
              <w:ind w:firstLine="180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20" w:lineRule="atLeast"/>
              <w:ind w:firstLine="180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C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Cs w:val="0"/>
                <w:color w:val="auto"/>
                <w:sz w:val="12"/>
                <w:lang w:eastAsia="hu-HU"/>
              </w:rPr>
            </w:pPr>
          </w:p>
        </w:tc>
      </w:tr>
      <w:tr w:rsidR="004A0FD3" w:rsidRPr="00E4078D" w:rsidTr="003815DA">
        <w:trPr>
          <w:trHeight w:val="190"/>
          <w:tblCellSpacing w:w="0" w:type="dxa"/>
          <w:jc w:val="center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0" w:line="240" w:lineRule="auto"/>
              <w:rPr>
                <w:rFonts w:ascii="Times" w:eastAsia="Times New Roman" w:hAnsi="Times" w:cs="Times"/>
                <w:b/>
                <w:color w:val="auto"/>
                <w:sz w:val="36"/>
                <w:szCs w:val="36"/>
                <w:lang w:eastAsia="hu-HU"/>
              </w:rPr>
            </w:pP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90" w:lineRule="atLeast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megnevezése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90" w:lineRule="atLeast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helye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90" w:lineRule="atLeast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hrsz.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190" w:lineRule="atLeast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 xml:space="preserve">terület 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(</w:t>
            </w: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m</w:t>
            </w:r>
            <w:r w:rsidRPr="00E4078D">
              <w:rPr>
                <w:rFonts w:ascii="Times" w:eastAsia="Times New Roman" w:hAnsi="Times" w:cs="Times"/>
                <w:bCs w:val="0"/>
                <w:color w:val="auto"/>
                <w:vertAlign w:val="superscript"/>
                <w:lang w:eastAsia="hu-HU"/>
              </w:rPr>
              <w:t>2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)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11/23.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595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11/30.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1022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3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11/35.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1022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11/40.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1041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5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Út, árok, rét,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11/50.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35996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6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Dózsa utca 32.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17/6.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1341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7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Lakóház, udvar, gazdasági épület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 5-7.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48/5.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2459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8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Udvar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48/6.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2846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9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48/7.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1167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10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Rákóczi utca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56/16.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295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Nagylóki út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67/4.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9679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Lakóház, udvar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Hunyadi utca 34.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188/2.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1570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3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Telep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447.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2493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Telep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471/2.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8585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5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Beépítetlen terület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Telep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471/3.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4945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6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Szántó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Zrínyi utca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479/15.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70687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</w:t>
            </w: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7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Szántó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Zrínyi utca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024/8.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13377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18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Kivett udvar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Tó udvar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0228/1.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1788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19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Kivett udvar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Tó udvar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0228/3.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 w:rsidRPr="00E4078D"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465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20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lakóház, udvar, gazdasági épület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Kossuth utca 4.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77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1493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árok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proofErr w:type="spellStart"/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Fiáth</w:t>
            </w:r>
            <w:proofErr w:type="spellEnd"/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 xml:space="preserve"> puszta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034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1363</w:t>
            </w:r>
          </w:p>
        </w:tc>
      </w:tr>
      <w:tr w:rsidR="004A0FD3" w:rsidRPr="00E4078D" w:rsidTr="003815DA">
        <w:trPr>
          <w:trHeight w:val="318"/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Default="004A0FD3" w:rsidP="003815DA">
            <w:pPr>
              <w:spacing w:after="20" w:line="240" w:lineRule="auto"/>
              <w:jc w:val="center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21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gazdasági épület és udvar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Default="004A0FD3" w:rsidP="003815DA">
            <w:pPr>
              <w:spacing w:after="20" w:line="240" w:lineRule="auto"/>
              <w:ind w:firstLine="180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proofErr w:type="spellStart"/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Fiáth</w:t>
            </w:r>
            <w:proofErr w:type="spellEnd"/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 xml:space="preserve"> puszta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035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FD3" w:rsidRPr="00E4078D" w:rsidRDefault="004A0FD3" w:rsidP="003815DA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</w:pPr>
            <w:r>
              <w:rPr>
                <w:rFonts w:ascii="Times" w:eastAsia="Times New Roman" w:hAnsi="Times" w:cs="Times"/>
                <w:bCs w:val="0"/>
                <w:color w:val="auto"/>
                <w:lang w:eastAsia="hu-HU"/>
              </w:rPr>
              <w:t>6532</w:t>
            </w:r>
          </w:p>
        </w:tc>
      </w:tr>
    </w:tbl>
    <w:p w:rsidR="004A0FD3" w:rsidRDefault="004A0FD3" w:rsidP="004A0FD3"/>
    <w:p w:rsidR="009616DB" w:rsidRDefault="009616DB"/>
    <w:sectPr w:rsidR="009616DB" w:rsidSect="00D8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A0FD3"/>
    <w:rsid w:val="004636A5"/>
    <w:rsid w:val="004A0FD3"/>
    <w:rsid w:val="00627980"/>
    <w:rsid w:val="009616DB"/>
    <w:rsid w:val="00AB0F5E"/>
    <w:rsid w:val="00B4375D"/>
    <w:rsid w:val="00D2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FD3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2019-02-14T07:59:00Z</dcterms:created>
  <dcterms:modified xsi:type="dcterms:W3CDTF">2019-02-14T08:14:00Z</dcterms:modified>
</cp:coreProperties>
</file>