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181" w:rsidRDefault="009E2181" w:rsidP="009E2181">
      <w:pPr>
        <w:ind w:left="720"/>
        <w:jc w:val="center"/>
        <w:rPr>
          <w:b/>
        </w:rPr>
      </w:pPr>
    </w:p>
    <w:p w:rsidR="009E2181" w:rsidRPr="00A80881" w:rsidRDefault="009E2181" w:rsidP="009E2181">
      <w:pPr>
        <w:ind w:left="720"/>
        <w:jc w:val="center"/>
        <w:rPr>
          <w:b/>
        </w:rPr>
      </w:pPr>
      <w:r w:rsidRPr="00A80881">
        <w:rPr>
          <w:b/>
        </w:rPr>
        <w:t>2. melléklet: A Képviselő-testülettől a bizottságokra és a polgármesterre átruházott hatáskörök</w:t>
      </w:r>
    </w:p>
    <w:p w:rsidR="009E2181" w:rsidRPr="00A80881" w:rsidRDefault="009E2181" w:rsidP="009E2181">
      <w:pPr>
        <w:autoSpaceDE w:val="0"/>
        <w:autoSpaceDN w:val="0"/>
        <w:adjustRightInd w:val="0"/>
        <w:rPr>
          <w:b/>
          <w:color w:val="000000"/>
        </w:rPr>
      </w:pPr>
    </w:p>
    <w:p w:rsidR="009E2181" w:rsidRPr="00A80881" w:rsidRDefault="009E2181" w:rsidP="009E2181">
      <w:pPr>
        <w:autoSpaceDE w:val="0"/>
        <w:autoSpaceDN w:val="0"/>
        <w:adjustRightInd w:val="0"/>
        <w:jc w:val="center"/>
        <w:rPr>
          <w:b/>
          <w:bCs/>
          <w:color w:val="000000"/>
        </w:rPr>
      </w:pPr>
    </w:p>
    <w:p w:rsidR="009E2181" w:rsidRPr="00A80881" w:rsidRDefault="009E2181" w:rsidP="009E2181">
      <w:pPr>
        <w:pStyle w:val="ListParagraph"/>
        <w:numPr>
          <w:ilvl w:val="0"/>
          <w:numId w:val="2"/>
        </w:numPr>
        <w:autoSpaceDE w:val="0"/>
        <w:autoSpaceDN w:val="0"/>
        <w:adjustRightInd w:val="0"/>
        <w:spacing w:after="0" w:line="240" w:lineRule="auto"/>
        <w:jc w:val="center"/>
        <w:rPr>
          <w:rFonts w:ascii="Times New Roman" w:hAnsi="Times New Roman"/>
          <w:b/>
          <w:bCs/>
          <w:i w:val="0"/>
          <w:color w:val="000000"/>
          <w:sz w:val="24"/>
          <w:szCs w:val="24"/>
          <w:u w:val="single"/>
        </w:rPr>
      </w:pPr>
      <w:r w:rsidRPr="00A80881">
        <w:rPr>
          <w:rFonts w:ascii="Times New Roman" w:hAnsi="Times New Roman"/>
          <w:b/>
          <w:bCs/>
          <w:i w:val="0"/>
          <w:color w:val="000000"/>
          <w:sz w:val="24"/>
          <w:szCs w:val="24"/>
          <w:u w:val="single"/>
        </w:rPr>
        <w:t>Polgármesterre átruházott hatáskörök</w:t>
      </w:r>
    </w:p>
    <w:p w:rsidR="009E2181" w:rsidRPr="00A80881" w:rsidRDefault="009E2181" w:rsidP="009E2181">
      <w:pPr>
        <w:autoSpaceDE w:val="0"/>
        <w:autoSpaceDN w:val="0"/>
        <w:adjustRightInd w:val="0"/>
        <w:jc w:val="both"/>
        <w:rPr>
          <w:b/>
          <w:bCs/>
          <w:color w:val="000000"/>
          <w:u w:val="single"/>
        </w:rPr>
      </w:pPr>
    </w:p>
    <w:p w:rsidR="009E2181" w:rsidRPr="00A80881" w:rsidRDefault="009E2181" w:rsidP="009E2181">
      <w:pPr>
        <w:autoSpaceDE w:val="0"/>
        <w:autoSpaceDN w:val="0"/>
        <w:adjustRightInd w:val="0"/>
        <w:jc w:val="both"/>
        <w:rPr>
          <w:color w:val="000000"/>
        </w:rPr>
      </w:pPr>
      <w:r w:rsidRPr="00A80881">
        <w:rPr>
          <w:b/>
          <w:bCs/>
          <w:color w:val="000000"/>
          <w:u w:val="single"/>
        </w:rPr>
        <w:t xml:space="preserve">I. A földművelésügyi igazgatással kapcsolatos hatáskörök: </w:t>
      </w:r>
    </w:p>
    <w:p w:rsidR="009E2181" w:rsidRPr="00A80881" w:rsidRDefault="009E2181" w:rsidP="009E2181">
      <w:pPr>
        <w:autoSpaceDE w:val="0"/>
        <w:autoSpaceDN w:val="0"/>
        <w:adjustRightInd w:val="0"/>
        <w:jc w:val="both"/>
        <w:rPr>
          <w:b/>
          <w:bCs/>
          <w:color w:val="000000"/>
        </w:rPr>
      </w:pPr>
    </w:p>
    <w:p w:rsidR="009E2181" w:rsidRPr="00A80881" w:rsidRDefault="009E2181" w:rsidP="009E2181">
      <w:pPr>
        <w:autoSpaceDE w:val="0"/>
        <w:autoSpaceDN w:val="0"/>
        <w:adjustRightInd w:val="0"/>
        <w:jc w:val="both"/>
        <w:rPr>
          <w:color w:val="000000"/>
        </w:rPr>
      </w:pPr>
      <w:r w:rsidRPr="00A80881">
        <w:rPr>
          <w:b/>
          <w:bCs/>
          <w:color w:val="000000"/>
        </w:rPr>
        <w:t xml:space="preserve">Növényvédelem, növényegészségügy: </w:t>
      </w:r>
    </w:p>
    <w:p w:rsidR="009E2181" w:rsidRPr="00A80881" w:rsidRDefault="009E2181" w:rsidP="009E2181">
      <w:pPr>
        <w:autoSpaceDE w:val="0"/>
        <w:autoSpaceDN w:val="0"/>
        <w:adjustRightInd w:val="0"/>
        <w:jc w:val="both"/>
        <w:rPr>
          <w:color w:val="000000"/>
        </w:rPr>
      </w:pPr>
      <w:r w:rsidRPr="00A80881">
        <w:rPr>
          <w:color w:val="000000"/>
        </w:rPr>
        <w:t xml:space="preserve">Gondoskodik a Község belterületén - a külön jogszabályban meghatározott - növényvédelmi feladatok ellátásáról és ellenőrzéséről. </w:t>
      </w:r>
    </w:p>
    <w:p w:rsidR="009E2181" w:rsidRPr="00A80881" w:rsidRDefault="009E2181" w:rsidP="009E2181">
      <w:pPr>
        <w:autoSpaceDE w:val="0"/>
        <w:autoSpaceDN w:val="0"/>
        <w:adjustRightInd w:val="0"/>
        <w:jc w:val="both"/>
        <w:rPr>
          <w:b/>
          <w:bCs/>
          <w:color w:val="000000"/>
        </w:rPr>
      </w:pPr>
    </w:p>
    <w:p w:rsidR="009E2181" w:rsidRPr="00A80881" w:rsidRDefault="009E2181" w:rsidP="009E2181">
      <w:pPr>
        <w:autoSpaceDE w:val="0"/>
        <w:autoSpaceDN w:val="0"/>
        <w:adjustRightInd w:val="0"/>
        <w:jc w:val="both"/>
        <w:rPr>
          <w:color w:val="000000"/>
        </w:rPr>
      </w:pPr>
      <w:r w:rsidRPr="00A80881">
        <w:rPr>
          <w:b/>
          <w:bCs/>
          <w:color w:val="000000"/>
        </w:rPr>
        <w:t xml:space="preserve">Állategészségügy: </w:t>
      </w:r>
    </w:p>
    <w:p w:rsidR="009E2181" w:rsidRPr="00A80881" w:rsidRDefault="009E2181" w:rsidP="009E2181">
      <w:pPr>
        <w:pStyle w:val="ListParagraph"/>
        <w:numPr>
          <w:ilvl w:val="0"/>
          <w:numId w:val="3"/>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Gondoskodik az állati hulladék ártalmatlanná tételével kapcsolatos feladatok ellátásáról. </w:t>
      </w:r>
    </w:p>
    <w:p w:rsidR="009E2181" w:rsidRPr="00A80881" w:rsidRDefault="009E2181" w:rsidP="009E2181">
      <w:pPr>
        <w:pStyle w:val="ListParagraph"/>
        <w:numPr>
          <w:ilvl w:val="0"/>
          <w:numId w:val="3"/>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Gondoskodik a Község belterületén a kóbor ebek befogásával, őrzésével, értékesítésével vagy ártalmatlanná tételével kapcsolatos feladatok ellátásáról. </w:t>
      </w:r>
    </w:p>
    <w:p w:rsidR="009E2181" w:rsidRPr="00A80881" w:rsidRDefault="009E2181" w:rsidP="009E2181">
      <w:pPr>
        <w:pStyle w:val="ListParagraph"/>
        <w:numPr>
          <w:ilvl w:val="0"/>
          <w:numId w:val="3"/>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Gondoskodik az emberre egészségügyi szempontból veszélyes, valamint az állatállomány egészségét veszélyeztető betegség tüneteit mutató, vagy betegségre gyanús ebek és macskák kártalanítás nélküli kiirtásával kapcsolatos feladatok ellátásáról. </w:t>
      </w:r>
    </w:p>
    <w:p w:rsidR="009E2181" w:rsidRPr="00A80881" w:rsidRDefault="009E2181" w:rsidP="009E2181">
      <w:pPr>
        <w:pStyle w:val="ListParagraph"/>
        <w:numPr>
          <w:ilvl w:val="0"/>
          <w:numId w:val="3"/>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Gondoskodhat a területén lévő nőivarú állatok termékenyítéséhez szükséges apaállatigény felméréséről, beszerzéséről, tartásának megszervezéséről, vagy a nőivarú egyedek minősített apaállattal, illetve szaporítóanyaggal történő termékenyítésének feltételeiről. Apaállat beszerzéséhez - a jogszabályban meghatározott módon és feltételekkel - állami támogatás igényelhető. </w:t>
      </w:r>
    </w:p>
    <w:p w:rsidR="009E2181" w:rsidRPr="00A80881" w:rsidRDefault="009E2181" w:rsidP="009E2181">
      <w:pPr>
        <w:autoSpaceDE w:val="0"/>
        <w:autoSpaceDN w:val="0"/>
        <w:adjustRightInd w:val="0"/>
        <w:jc w:val="both"/>
        <w:rPr>
          <w:b/>
          <w:bCs/>
          <w:color w:val="000000"/>
          <w:u w:val="single"/>
        </w:rPr>
      </w:pPr>
    </w:p>
    <w:p w:rsidR="009E2181" w:rsidRPr="00A80881" w:rsidRDefault="009E2181" w:rsidP="009E2181">
      <w:pPr>
        <w:autoSpaceDE w:val="0"/>
        <w:autoSpaceDN w:val="0"/>
        <w:adjustRightInd w:val="0"/>
        <w:jc w:val="both"/>
        <w:rPr>
          <w:color w:val="000000"/>
        </w:rPr>
      </w:pPr>
      <w:r w:rsidRPr="00A80881">
        <w:rPr>
          <w:b/>
          <w:bCs/>
          <w:color w:val="000000"/>
          <w:u w:val="single"/>
        </w:rPr>
        <w:t xml:space="preserve">II. Az épített környezet alakítása és védelme: </w:t>
      </w:r>
    </w:p>
    <w:p w:rsidR="009E2181" w:rsidRPr="00A80881" w:rsidRDefault="009E2181" w:rsidP="009E2181">
      <w:pPr>
        <w:autoSpaceDE w:val="0"/>
        <w:autoSpaceDN w:val="0"/>
        <w:adjustRightInd w:val="0"/>
        <w:jc w:val="both"/>
        <w:rPr>
          <w:color w:val="000000"/>
        </w:rPr>
      </w:pPr>
    </w:p>
    <w:p w:rsidR="009E2181" w:rsidRPr="00A80881" w:rsidRDefault="009E2181" w:rsidP="009E2181">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 tulajdonosi hozzájárulást az önkormányzati lakás, nem lakás célú helyiség szerkezetet érintő felújítása, bővítése, átalakítása, korszerűsítése esetén. </w:t>
      </w:r>
    </w:p>
    <w:p w:rsidR="009E2181" w:rsidRPr="00A80881" w:rsidRDefault="009E2181" w:rsidP="009E2181">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Gyakorolja a tulajdonost megillető jogokat, ha az önkormányzat tulajdonát képező ingatlannal szomszédos ingatlanon folyó építési munka az önkormányzat jogos érdekeit sérti. </w:t>
      </w:r>
    </w:p>
    <w:p w:rsidR="009E2181" w:rsidRPr="00A80881" w:rsidRDefault="009E2181" w:rsidP="009E2181">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 tulajdonosi hozzájárulást az építésügyi hatósági engedélyek megadásához a tulajdonában lévő telekingatlanok esetében. </w:t>
      </w:r>
    </w:p>
    <w:p w:rsidR="009E2181" w:rsidRPr="00A80881" w:rsidRDefault="009E2181" w:rsidP="009E2181">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Megadja vagy megtagadja a tulajdonosi hozzájárulást az Önkormányzat tulajdonában lévő épületben vagy területen lévő nem lakáscélú helyiségek használati mód változásához.</w:t>
      </w:r>
    </w:p>
    <w:p w:rsidR="009E2181" w:rsidRPr="00A80881" w:rsidRDefault="009E2181" w:rsidP="009E2181">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Az ügyfél kérelmére kiadja a hozzájárulást a beépítési kötelezettség miatt elrendelt elidegenítési és terhelési tilalom törlésére, amennyiben bizonyított, hogy az ügyfél a beépítési kötelezettségének eleget tett. </w:t>
      </w:r>
    </w:p>
    <w:p w:rsidR="009E2181" w:rsidRPr="00A80881" w:rsidRDefault="009E2181" w:rsidP="009E2181">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 tulajdonosi hozzájárulást az Önkormányzat tulajdonában lévő lakásban, nem lakás célú helyiségben és telek ingatlanon közművekkel és ezek mérőberendezéseivel kapcsolatos munkák (felújítás, csere, hibaelhárítás, új közműbekötés) esetén. </w:t>
      </w:r>
    </w:p>
    <w:p w:rsidR="009E2181" w:rsidRPr="00A80881" w:rsidRDefault="009E2181" w:rsidP="009E2181">
      <w:pPr>
        <w:autoSpaceDE w:val="0"/>
        <w:autoSpaceDN w:val="0"/>
        <w:adjustRightInd w:val="0"/>
        <w:jc w:val="both"/>
        <w:rPr>
          <w:b/>
          <w:bCs/>
          <w:color w:val="000000"/>
          <w:u w:val="single"/>
        </w:rPr>
      </w:pPr>
    </w:p>
    <w:p w:rsidR="009E2181" w:rsidRDefault="009E2181" w:rsidP="009E2181">
      <w:pPr>
        <w:autoSpaceDE w:val="0"/>
        <w:autoSpaceDN w:val="0"/>
        <w:adjustRightInd w:val="0"/>
        <w:jc w:val="both"/>
        <w:rPr>
          <w:b/>
          <w:bCs/>
          <w:color w:val="000000"/>
          <w:u w:val="single"/>
        </w:rPr>
      </w:pPr>
    </w:p>
    <w:p w:rsidR="009E2181" w:rsidRDefault="009E2181" w:rsidP="009E2181">
      <w:pPr>
        <w:autoSpaceDE w:val="0"/>
        <w:autoSpaceDN w:val="0"/>
        <w:adjustRightInd w:val="0"/>
        <w:jc w:val="both"/>
        <w:rPr>
          <w:b/>
          <w:bCs/>
          <w:color w:val="000000"/>
          <w:u w:val="single"/>
        </w:rPr>
      </w:pPr>
    </w:p>
    <w:p w:rsidR="009E2181" w:rsidRPr="00A80881" w:rsidRDefault="009E2181" w:rsidP="009E2181">
      <w:pPr>
        <w:autoSpaceDE w:val="0"/>
        <w:autoSpaceDN w:val="0"/>
        <w:adjustRightInd w:val="0"/>
        <w:jc w:val="both"/>
        <w:rPr>
          <w:color w:val="000000"/>
        </w:rPr>
      </w:pPr>
      <w:r w:rsidRPr="00A80881">
        <w:rPr>
          <w:b/>
          <w:bCs/>
          <w:color w:val="000000"/>
          <w:u w:val="single"/>
        </w:rPr>
        <w:lastRenderedPageBreak/>
        <w:t xml:space="preserve">III. Közterület használattal kapcsolatos hatáskörök: </w:t>
      </w:r>
    </w:p>
    <w:p w:rsidR="009E2181" w:rsidRPr="00A80881" w:rsidRDefault="009E2181" w:rsidP="009E2181">
      <w:pPr>
        <w:autoSpaceDE w:val="0"/>
        <w:autoSpaceDN w:val="0"/>
        <w:adjustRightInd w:val="0"/>
        <w:jc w:val="both"/>
        <w:rPr>
          <w:color w:val="000000"/>
        </w:rPr>
      </w:pPr>
    </w:p>
    <w:p w:rsidR="009E2181" w:rsidRPr="00A80881" w:rsidRDefault="009E2181" w:rsidP="009E2181">
      <w:pPr>
        <w:pStyle w:val="ListParagraph"/>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Engedélyezi a közterület épülettel, épületrésszel vagy más építménnyel való elfoglalását, illetve a rendeltetésétől eltérő célra és módon való használatát. </w:t>
      </w:r>
    </w:p>
    <w:p w:rsidR="009E2181" w:rsidRPr="00A80881" w:rsidRDefault="009E2181" w:rsidP="009E2181">
      <w:pPr>
        <w:pStyle w:val="ListParagraph"/>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Visszavonja haladéktalanul a közterület használati hozzájárulást tilos reklám közzététele esetén. </w:t>
      </w:r>
    </w:p>
    <w:p w:rsidR="009E2181" w:rsidRPr="00A80881" w:rsidRDefault="009E2181" w:rsidP="009E2181">
      <w:pPr>
        <w:pStyle w:val="ListParagraph"/>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Dönt az elővásárlási jog érvényesítéséről, vagy lemond az elővásárlási jogról az önkormányzat tulajdonában lévő közterületen épült nem lakás célú helyiségek (pavilonok, üzletek) elidegenítése esetén. </w:t>
      </w:r>
    </w:p>
    <w:p w:rsidR="009E2181" w:rsidRPr="00A80881" w:rsidRDefault="009E2181" w:rsidP="009E2181">
      <w:pPr>
        <w:pStyle w:val="ListParagraph"/>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 tulajdonosi hozzájárulást az Önkormányzat tulajdonában lévő közterületen lévő nem lakáscélú helyiségek használati mód változásához. </w:t>
      </w:r>
    </w:p>
    <w:p w:rsidR="009E2181" w:rsidRPr="00A80881" w:rsidRDefault="009E2181" w:rsidP="009E2181">
      <w:pPr>
        <w:pStyle w:val="ListParagraph"/>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az Önkormányzat tulajdonában lévő közterületeken létesítendő építmények, közművek létesítéséhez szükséges tulajdonosi hozzájárulást. </w:t>
      </w:r>
    </w:p>
    <w:p w:rsidR="009E2181" w:rsidRPr="00A80881" w:rsidRDefault="009E2181" w:rsidP="009E2181">
      <w:pPr>
        <w:autoSpaceDE w:val="0"/>
        <w:autoSpaceDN w:val="0"/>
        <w:adjustRightInd w:val="0"/>
        <w:jc w:val="both"/>
        <w:rPr>
          <w:color w:val="000000"/>
        </w:rPr>
      </w:pPr>
    </w:p>
    <w:p w:rsidR="009E2181" w:rsidRPr="00A80881" w:rsidRDefault="009E2181" w:rsidP="009E2181">
      <w:pPr>
        <w:autoSpaceDE w:val="0"/>
        <w:autoSpaceDN w:val="0"/>
        <w:adjustRightInd w:val="0"/>
        <w:jc w:val="both"/>
        <w:rPr>
          <w:color w:val="000000"/>
        </w:rPr>
      </w:pPr>
      <w:r w:rsidRPr="00A80881">
        <w:rPr>
          <w:b/>
          <w:bCs/>
          <w:color w:val="000000"/>
          <w:u w:val="single"/>
        </w:rPr>
        <w:t xml:space="preserve">IV. Az egészségügyi és szociális ellátással, valamint a gyermek- és ifjúságvédelemmel kapcsolatos feladat- és hatáskörök </w:t>
      </w:r>
    </w:p>
    <w:p w:rsidR="009E2181" w:rsidRPr="00A80881" w:rsidRDefault="009E2181" w:rsidP="009E2181">
      <w:pPr>
        <w:autoSpaceDE w:val="0"/>
        <w:autoSpaceDN w:val="0"/>
        <w:adjustRightInd w:val="0"/>
        <w:rPr>
          <w:b/>
          <w:bCs/>
          <w:color w:val="000000"/>
        </w:rPr>
      </w:pPr>
    </w:p>
    <w:p w:rsidR="009E2181" w:rsidRPr="00A80881" w:rsidRDefault="009E2181" w:rsidP="009E2181">
      <w:pPr>
        <w:autoSpaceDE w:val="0"/>
        <w:autoSpaceDN w:val="0"/>
        <w:adjustRightInd w:val="0"/>
        <w:rPr>
          <w:b/>
          <w:bCs/>
          <w:color w:val="000000"/>
        </w:rPr>
      </w:pPr>
      <w:r w:rsidRPr="00A80881">
        <w:rPr>
          <w:b/>
          <w:bCs/>
          <w:color w:val="000000"/>
        </w:rPr>
        <w:t xml:space="preserve">Egészségügyi ellátással kapcsolatos feladat- és hatáskörök: </w:t>
      </w:r>
    </w:p>
    <w:p w:rsidR="009E2181" w:rsidRPr="00A80881" w:rsidRDefault="009E2181" w:rsidP="009E2181">
      <w:pPr>
        <w:autoSpaceDE w:val="0"/>
        <w:autoSpaceDN w:val="0"/>
        <w:adjustRightInd w:val="0"/>
        <w:rPr>
          <w:color w:val="000000"/>
        </w:rPr>
      </w:pPr>
    </w:p>
    <w:p w:rsidR="009E2181" w:rsidRPr="00A80881" w:rsidRDefault="009E2181" w:rsidP="009E2181">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Panaszok kivizsgálására és annak eredményéről a beteg mielőbbi, írásbeli tájékoztatása. </w:t>
      </w:r>
    </w:p>
    <w:p w:rsidR="009E2181" w:rsidRPr="00A80881" w:rsidRDefault="009E2181" w:rsidP="009E2181">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betegjogi képviselő észrevételeinek érdemi megvizsgálása és a kialakított állásfoglalásról való tájékoztatása. </w:t>
      </w:r>
    </w:p>
    <w:p w:rsidR="009E2181" w:rsidRPr="00A80881" w:rsidRDefault="009E2181" w:rsidP="009E2181">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rovarok és rágcsálók irtásának biztosítása. </w:t>
      </w:r>
    </w:p>
    <w:p w:rsidR="009E2181" w:rsidRPr="00A80881" w:rsidRDefault="009E2181" w:rsidP="009E2181">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Pályázatot nyújt be az OEP-hez a normatíván felüli kapacitás befogadására, benyújtja a kapacitásmódosítási kérelmet, megköti vagy módosítja az ezzel kapcsolatos megállapodást. </w:t>
      </w:r>
    </w:p>
    <w:p w:rsidR="009E2181" w:rsidRPr="00A80881" w:rsidRDefault="009E2181" w:rsidP="009E2181">
      <w:pPr>
        <w:autoSpaceDE w:val="0"/>
        <w:autoSpaceDN w:val="0"/>
        <w:adjustRightInd w:val="0"/>
        <w:ind w:left="420" w:hanging="420"/>
        <w:jc w:val="both"/>
        <w:rPr>
          <w:b/>
          <w:bCs/>
          <w:color w:val="000000"/>
        </w:rPr>
      </w:pPr>
    </w:p>
    <w:p w:rsidR="009E2181" w:rsidRPr="00A80881" w:rsidRDefault="009E2181" w:rsidP="009E2181">
      <w:pPr>
        <w:autoSpaceDE w:val="0"/>
        <w:autoSpaceDN w:val="0"/>
        <w:adjustRightInd w:val="0"/>
        <w:ind w:left="420" w:hanging="420"/>
        <w:jc w:val="both"/>
        <w:rPr>
          <w:b/>
          <w:bCs/>
          <w:color w:val="000000"/>
        </w:rPr>
      </w:pPr>
      <w:r w:rsidRPr="00A80881">
        <w:rPr>
          <w:b/>
          <w:bCs/>
          <w:color w:val="000000"/>
        </w:rPr>
        <w:t xml:space="preserve">Szociális ellátással kapcsolatos feladat- és hatáskörök: </w:t>
      </w:r>
    </w:p>
    <w:p w:rsidR="009E2181" w:rsidRPr="00A80881" w:rsidRDefault="009E2181" w:rsidP="009E2181">
      <w:pPr>
        <w:autoSpaceDE w:val="0"/>
        <w:autoSpaceDN w:val="0"/>
        <w:adjustRightInd w:val="0"/>
        <w:ind w:left="420" w:hanging="420"/>
        <w:jc w:val="both"/>
        <w:rPr>
          <w:color w:val="000000"/>
        </w:rPr>
      </w:pPr>
    </w:p>
    <w:p w:rsidR="009E2181" w:rsidRPr="00A80881" w:rsidRDefault="009E2181" w:rsidP="009E2181">
      <w:pPr>
        <w:pStyle w:val="ListParagraph"/>
        <w:numPr>
          <w:ilvl w:val="0"/>
          <w:numId w:val="7"/>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Köteles a családgondozóval és a gyermekjóléti ellátóval konzultálva az arra rászorulónak – tekintet nélkül hatáskörére és illetékességére – </w:t>
      </w:r>
      <w:r>
        <w:rPr>
          <w:rFonts w:ascii="Times New Roman" w:hAnsi="Times New Roman"/>
          <w:i w:val="0"/>
          <w:color w:val="000000"/>
          <w:sz w:val="24"/>
          <w:szCs w:val="24"/>
        </w:rPr>
        <w:t>rendkívüli települési támogatást</w:t>
      </w:r>
      <w:r w:rsidRPr="00A80881">
        <w:rPr>
          <w:rFonts w:ascii="Times New Roman" w:hAnsi="Times New Roman"/>
          <w:i w:val="0"/>
          <w:color w:val="000000"/>
          <w:sz w:val="24"/>
          <w:szCs w:val="24"/>
        </w:rPr>
        <w:t xml:space="preserve">, étkezést illetve szállást biztosítani, ha ennek hiánya a rászorulónak az életét, testi épségét veszélyezteti. </w:t>
      </w:r>
    </w:p>
    <w:p w:rsidR="009E2181" w:rsidRPr="00A80881" w:rsidRDefault="009E2181" w:rsidP="009E2181">
      <w:pPr>
        <w:pStyle w:val="ListParagraph"/>
        <w:numPr>
          <w:ilvl w:val="0"/>
          <w:numId w:val="7"/>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Haladéktalanul értesíti az ellátást biztosító a szociális igazgatásról és szociális ellátásokról szóló, többször módosított 1993. évi III. törvény (a továbbiakban: Szoctv.) 7. § (1) bekezdés szerinti ideiglenes intézkedésről a hatáskörrel rendelkező illetékes szervet. Az értesítéssel egyidejűleg megkövetelheti a kifizetett </w:t>
      </w:r>
      <w:r>
        <w:rPr>
          <w:rFonts w:ascii="Times New Roman" w:hAnsi="Times New Roman"/>
          <w:i w:val="0"/>
          <w:color w:val="000000"/>
          <w:sz w:val="24"/>
          <w:szCs w:val="24"/>
        </w:rPr>
        <w:t>rendkívüli települési támogatás</w:t>
      </w:r>
      <w:r w:rsidRPr="00A80881">
        <w:rPr>
          <w:rFonts w:ascii="Times New Roman" w:hAnsi="Times New Roman"/>
          <w:i w:val="0"/>
          <w:color w:val="000000"/>
          <w:sz w:val="24"/>
          <w:szCs w:val="24"/>
        </w:rPr>
        <w:t xml:space="preserve"> megtérítését. </w:t>
      </w:r>
    </w:p>
    <w:p w:rsidR="009E2181" w:rsidRPr="00A80881" w:rsidRDefault="009E2181" w:rsidP="009E2181">
      <w:pPr>
        <w:pStyle w:val="ListParagraph"/>
        <w:numPr>
          <w:ilvl w:val="0"/>
          <w:numId w:val="7"/>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Szoc. tv-ben meghatározott feltételek hiányában, vagy e törvény megsértésével nyújtott szociális ellátást megszünteti, az ellátást jogosulatlanul és rosszhiszeműen igénybevevőt pedig kötelezi a pénzbeli szociális ellátás visszafizetésére, természetben nyújtott szociális ellátás esetén a dolog visszaszolgáltatására vagy a szolgáltatásnak megfelelő pénz egyenérték megfizetésére, a személyes gondoskodást nyújtó szociális ellátás esetében az intézményi térítési díj teljes összegének megfizetésére a családgondozóval és a gyermekjóléti ellátóval konzultálva. </w:t>
      </w:r>
    </w:p>
    <w:p w:rsidR="009E2181" w:rsidRPr="00A80881" w:rsidRDefault="009E2181" w:rsidP="009E2181">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Temetési segélyt nyújthat annak, aki a meghalt személy eltemettetéséről gondoskodott annak ellenére, hogy arra nem volt köteles, vagy tartásra köteles hozzátartozó volt ugyan, de a temetési költségek viselése a saját illetve családja létfenntartását veszélyezteti</w:t>
      </w:r>
      <w:r>
        <w:rPr>
          <w:rFonts w:ascii="Times New Roman" w:hAnsi="Times New Roman"/>
          <w:i w:val="0"/>
          <w:color w:val="000000"/>
          <w:sz w:val="24"/>
          <w:szCs w:val="24"/>
        </w:rPr>
        <w:t>.</w:t>
      </w:r>
      <w:r w:rsidRPr="00A80881">
        <w:rPr>
          <w:rFonts w:ascii="Times New Roman" w:hAnsi="Times New Roman"/>
          <w:i w:val="0"/>
          <w:color w:val="000000"/>
          <w:sz w:val="24"/>
          <w:szCs w:val="24"/>
        </w:rPr>
        <w:t xml:space="preserve"> </w:t>
      </w:r>
    </w:p>
    <w:p w:rsidR="009E2181" w:rsidRPr="00A80881" w:rsidRDefault="009E2181" w:rsidP="009E2181">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Gondoskodnia kell az elhunyt személy közköltségen történő eltemettetéséről, ha nincs, vagy nem lelhető fel az eltemettetésre köteles személy vagy az eltemettetésre köteles személy az eltemettetésről nem gondoskodik. </w:t>
      </w:r>
    </w:p>
    <w:p w:rsidR="009E2181" w:rsidRPr="00A80881" w:rsidRDefault="009E2181" w:rsidP="009E2181">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költségeket hagyatéki teherként a területileg illetékes közjegyzőnél bejelenti vagy az eltemettetésre köteles személyt a köztemetés költségeinek megtérítésére kötelezi. </w:t>
      </w:r>
    </w:p>
    <w:p w:rsidR="009E2181" w:rsidRPr="00A80881" w:rsidRDefault="009E2181" w:rsidP="009E2181">
      <w:pPr>
        <w:pStyle w:val="ListParagraph"/>
        <w:numPr>
          <w:ilvl w:val="0"/>
          <w:numId w:val="6"/>
        </w:numPr>
        <w:autoSpaceDE w:val="0"/>
        <w:autoSpaceDN w:val="0"/>
        <w:adjustRightInd w:val="0"/>
        <w:spacing w:after="0" w:line="240" w:lineRule="auto"/>
        <w:rPr>
          <w:rFonts w:ascii="Times New Roman" w:hAnsi="Times New Roman"/>
          <w:i w:val="0"/>
          <w:color w:val="000000"/>
          <w:sz w:val="24"/>
          <w:szCs w:val="24"/>
        </w:rPr>
      </w:pPr>
      <w:r w:rsidRPr="00A80881">
        <w:rPr>
          <w:rFonts w:ascii="Times New Roman" w:hAnsi="Times New Roman"/>
          <w:i w:val="0"/>
          <w:color w:val="000000"/>
          <w:sz w:val="24"/>
          <w:szCs w:val="24"/>
        </w:rPr>
        <w:t xml:space="preserve">A Szoctv. 101. §-a (1), (2) bekezdésének rendelkezései alapján megszünteti az intézményi jogviszonyt, amennyiben a beutalásra a (4) bekezdésben foglaltak szerint az önkormányzat határozata alapján került sor. </w:t>
      </w:r>
    </w:p>
    <w:p w:rsidR="009E2181" w:rsidRPr="00A80881" w:rsidRDefault="009E2181" w:rsidP="009E2181">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Beszerzi a Szoctv. 109. § (2) bekezdés a), b), pontjában meghatározott esetekben a jogosult kezelőorvosának javaslatát, valamint a jogosult illetve törvényes képviselőjének egyetértő nyilatkozatát. Ha a jogosult, illetve törvényes képviselője az egyetértő nyilatkozatot nem adja meg, az intézményi elhelyezést megszünteti. </w:t>
      </w:r>
    </w:p>
    <w:p w:rsidR="009E2181" w:rsidRPr="00A80881" w:rsidRDefault="009E2181" w:rsidP="009E2181">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Igényelheti a meghalt személy utolsó állandó lakhelye szerinti települési önkormányzattól a köztemetés költségeinek megtérítését. </w:t>
      </w:r>
    </w:p>
    <w:p w:rsidR="009E2181" w:rsidRDefault="009E2181" w:rsidP="009E2181">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A pénzbeli és természetbeni szociális ellátások igénylésének és megállapításának, valamint folyósításának részletes szabályairól szóló 63/2006. (III. 27.) Korm. rendelet szerinti eljárásokban a szakvélemény megérkezéséig az eljárást felfüggesztheti.</w:t>
      </w:r>
    </w:p>
    <w:p w:rsidR="009E2181" w:rsidRPr="0088288F" w:rsidRDefault="009E2181" w:rsidP="009E2181">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88288F">
        <w:rPr>
          <w:rFonts w:ascii="Times New Roman" w:hAnsi="Times New Roman"/>
          <w:i w:val="0"/>
          <w:sz w:val="24"/>
          <w:szCs w:val="24"/>
        </w:rPr>
        <w:t>Irányítja a falugondnok, mint egyszemélyes szolgáltató munkáját.</w:t>
      </w:r>
    </w:p>
    <w:p w:rsidR="009E2181" w:rsidRPr="00A80881" w:rsidRDefault="009E2181" w:rsidP="009E2181">
      <w:pPr>
        <w:autoSpaceDE w:val="0"/>
        <w:autoSpaceDN w:val="0"/>
        <w:adjustRightInd w:val="0"/>
        <w:jc w:val="both"/>
        <w:rPr>
          <w:b/>
          <w:bCs/>
          <w:color w:val="000000"/>
        </w:rPr>
      </w:pPr>
    </w:p>
    <w:p w:rsidR="009E2181" w:rsidRPr="00A80881" w:rsidRDefault="009E2181" w:rsidP="009E2181">
      <w:pPr>
        <w:autoSpaceDE w:val="0"/>
        <w:autoSpaceDN w:val="0"/>
        <w:adjustRightInd w:val="0"/>
        <w:jc w:val="both"/>
        <w:rPr>
          <w:color w:val="000000"/>
        </w:rPr>
      </w:pPr>
      <w:r w:rsidRPr="00A80881">
        <w:rPr>
          <w:b/>
          <w:bCs/>
          <w:color w:val="000000"/>
        </w:rPr>
        <w:t xml:space="preserve">Gyermek- és ifjúságvédelemmel kapcsolatos feladat- és hatáskörök </w:t>
      </w:r>
    </w:p>
    <w:p w:rsidR="009E2181" w:rsidRPr="00A80881" w:rsidRDefault="009E2181" w:rsidP="009E2181">
      <w:pPr>
        <w:autoSpaceDE w:val="0"/>
        <w:autoSpaceDN w:val="0"/>
        <w:adjustRightInd w:val="0"/>
        <w:jc w:val="both"/>
        <w:rPr>
          <w:color w:val="000000"/>
        </w:rPr>
      </w:pPr>
    </w:p>
    <w:p w:rsidR="009E2181" w:rsidRPr="00A80881" w:rsidRDefault="009E2181" w:rsidP="009E2181">
      <w:pPr>
        <w:pStyle w:val="ListParagraph"/>
        <w:numPr>
          <w:ilvl w:val="0"/>
          <w:numId w:val="8"/>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Dönt a rendkívüli élethelyzetbe került, rászoruló kiskorúak rendkívüli gyermekvédelmi támogatásáról a családgondozóval és a gyermekjóléti ellátóval konzultálva.</w:t>
      </w:r>
    </w:p>
    <w:p w:rsidR="009E2181" w:rsidRPr="00A80881" w:rsidRDefault="009E2181" w:rsidP="009E2181">
      <w:pPr>
        <w:pStyle w:val="ListParagraph"/>
        <w:numPr>
          <w:ilvl w:val="0"/>
          <w:numId w:val="8"/>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Dönt a szociálisan rászoruló családok gyermekeinek óvodai, iskolai étkezési térítési díjkedvezményének megállapításáról a családgondozóval és a gyermekjóléti ellátóval konzultálva.</w:t>
      </w:r>
    </w:p>
    <w:p w:rsidR="009E2181" w:rsidRPr="00A80881" w:rsidRDefault="009E2181" w:rsidP="009E2181">
      <w:pPr>
        <w:pStyle w:val="ListParagraph"/>
        <w:numPr>
          <w:ilvl w:val="0"/>
          <w:numId w:val="8"/>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Dönt a szociálisan rászoruló családok jól tanuló gyermekei részére megállapítható BURSA Hungarica ösztöndíjról. </w:t>
      </w:r>
    </w:p>
    <w:p w:rsidR="009E2181" w:rsidRPr="00A80881" w:rsidRDefault="009E2181" w:rsidP="009E2181">
      <w:pPr>
        <w:autoSpaceDE w:val="0"/>
        <w:autoSpaceDN w:val="0"/>
        <w:adjustRightInd w:val="0"/>
        <w:rPr>
          <w:b/>
          <w:bCs/>
          <w:color w:val="000000"/>
          <w:u w:val="single"/>
        </w:rPr>
      </w:pPr>
    </w:p>
    <w:p w:rsidR="009E2181" w:rsidRPr="00A80881" w:rsidRDefault="009E2181" w:rsidP="009E2181">
      <w:pPr>
        <w:autoSpaceDE w:val="0"/>
        <w:autoSpaceDN w:val="0"/>
        <w:adjustRightInd w:val="0"/>
        <w:rPr>
          <w:color w:val="000000"/>
        </w:rPr>
      </w:pPr>
      <w:r w:rsidRPr="00A80881">
        <w:rPr>
          <w:b/>
          <w:bCs/>
          <w:color w:val="000000"/>
          <w:u w:val="single"/>
        </w:rPr>
        <w:t xml:space="preserve">V. Közlekedési és vízügyi igazgatással kapcsolatos feladat- és hatáskörök: </w:t>
      </w:r>
    </w:p>
    <w:p w:rsidR="009E2181" w:rsidRPr="00A80881" w:rsidRDefault="009E2181" w:rsidP="009E2181">
      <w:pPr>
        <w:autoSpaceDE w:val="0"/>
        <w:autoSpaceDN w:val="0"/>
        <w:adjustRightInd w:val="0"/>
        <w:jc w:val="both"/>
        <w:rPr>
          <w:color w:val="000000"/>
        </w:rPr>
      </w:pPr>
    </w:p>
    <w:p w:rsidR="009E2181" w:rsidRPr="00A80881" w:rsidRDefault="009E2181" w:rsidP="009E2181">
      <w:pPr>
        <w:pStyle w:val="ListParagraph"/>
        <w:numPr>
          <w:ilvl w:val="0"/>
          <w:numId w:val="9"/>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Gondoskodik a közút tisztántartásáról, a hó eltakarításáról, továbbá az út síkossága elleni védekezésről. </w:t>
      </w:r>
    </w:p>
    <w:p w:rsidR="009E2181" w:rsidRPr="00A80881" w:rsidRDefault="009E2181" w:rsidP="009E2181">
      <w:pPr>
        <w:pStyle w:val="ListParagraph"/>
        <w:numPr>
          <w:ilvl w:val="0"/>
          <w:numId w:val="9"/>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Ha a közlekedési hatóság az út megszüntetését engedélyezte, azt elbontatja.</w:t>
      </w:r>
    </w:p>
    <w:p w:rsidR="009E2181" w:rsidRPr="00A80881" w:rsidRDefault="009E2181" w:rsidP="009E2181">
      <w:pPr>
        <w:autoSpaceDE w:val="0"/>
        <w:autoSpaceDN w:val="0"/>
        <w:adjustRightInd w:val="0"/>
        <w:rPr>
          <w:b/>
          <w:bCs/>
          <w:color w:val="000000"/>
          <w:u w:val="single"/>
        </w:rPr>
      </w:pPr>
    </w:p>
    <w:p w:rsidR="009E2181" w:rsidRPr="00A80881" w:rsidRDefault="009E2181" w:rsidP="009E2181">
      <w:pPr>
        <w:autoSpaceDE w:val="0"/>
        <w:autoSpaceDN w:val="0"/>
        <w:adjustRightInd w:val="0"/>
        <w:rPr>
          <w:color w:val="000000"/>
        </w:rPr>
      </w:pPr>
      <w:r w:rsidRPr="00A80881">
        <w:rPr>
          <w:b/>
          <w:bCs/>
          <w:color w:val="000000"/>
          <w:u w:val="single"/>
        </w:rPr>
        <w:t xml:space="preserve">VI. Belügyi igazgatással kapcsolatos feladat- és hatáskörök: </w:t>
      </w:r>
    </w:p>
    <w:p w:rsidR="009E2181" w:rsidRPr="00A80881" w:rsidRDefault="009E2181" w:rsidP="009E2181">
      <w:pPr>
        <w:autoSpaceDE w:val="0"/>
        <w:autoSpaceDN w:val="0"/>
        <w:adjustRightInd w:val="0"/>
        <w:jc w:val="both"/>
        <w:rPr>
          <w:b/>
          <w:bCs/>
          <w:color w:val="000000"/>
        </w:rPr>
      </w:pPr>
    </w:p>
    <w:p w:rsidR="009E2181" w:rsidRPr="00A80881" w:rsidRDefault="009E2181" w:rsidP="009E2181">
      <w:pPr>
        <w:autoSpaceDE w:val="0"/>
        <w:autoSpaceDN w:val="0"/>
        <w:adjustRightInd w:val="0"/>
        <w:jc w:val="both"/>
        <w:rPr>
          <w:b/>
          <w:bCs/>
          <w:color w:val="000000"/>
        </w:rPr>
      </w:pPr>
      <w:r w:rsidRPr="00A80881">
        <w:rPr>
          <w:b/>
          <w:bCs/>
          <w:color w:val="000000"/>
        </w:rPr>
        <w:t xml:space="preserve">Kisajátítással kapcsolatos feladat- és hatáskörök: </w:t>
      </w:r>
    </w:p>
    <w:p w:rsidR="009E2181" w:rsidRPr="00A80881" w:rsidRDefault="009E2181" w:rsidP="009E2181">
      <w:pPr>
        <w:autoSpaceDE w:val="0"/>
        <w:autoSpaceDN w:val="0"/>
        <w:adjustRightInd w:val="0"/>
        <w:jc w:val="both"/>
        <w:rPr>
          <w:color w:val="000000"/>
        </w:rPr>
      </w:pPr>
    </w:p>
    <w:p w:rsidR="009E2181" w:rsidRPr="00A80881" w:rsidRDefault="009E2181" w:rsidP="009E2181">
      <w:pPr>
        <w:pStyle w:val="ListParagraph"/>
        <w:numPr>
          <w:ilvl w:val="0"/>
          <w:numId w:val="10"/>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Megfelelő cserelakást biztosít a kisajátított épületben lévő lakás és nem lakás céljára szolgáló helyiség használója részére </w:t>
      </w:r>
    </w:p>
    <w:p w:rsidR="009E2181" w:rsidRPr="00A80881" w:rsidRDefault="009E2181" w:rsidP="009E2181">
      <w:pPr>
        <w:pStyle w:val="ListParagraph"/>
        <w:numPr>
          <w:ilvl w:val="0"/>
          <w:numId w:val="10"/>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Megállapodik a másik féllel a pénzbeli kártalanítás összegében. </w:t>
      </w:r>
    </w:p>
    <w:p w:rsidR="009E2181" w:rsidRPr="00A80881" w:rsidRDefault="009E2181" w:rsidP="009E2181">
      <w:pPr>
        <w:autoSpaceDE w:val="0"/>
        <w:autoSpaceDN w:val="0"/>
        <w:adjustRightInd w:val="0"/>
        <w:rPr>
          <w:b/>
          <w:bCs/>
          <w:color w:val="000000"/>
          <w:u w:val="single"/>
        </w:rPr>
      </w:pPr>
    </w:p>
    <w:p w:rsidR="009E2181" w:rsidRPr="00A80881" w:rsidRDefault="009E2181" w:rsidP="009E2181">
      <w:pPr>
        <w:autoSpaceDE w:val="0"/>
        <w:autoSpaceDN w:val="0"/>
        <w:adjustRightInd w:val="0"/>
        <w:rPr>
          <w:b/>
          <w:bCs/>
          <w:color w:val="000000"/>
          <w:u w:val="single"/>
        </w:rPr>
      </w:pPr>
      <w:r w:rsidRPr="00A80881">
        <w:rPr>
          <w:b/>
          <w:bCs/>
          <w:color w:val="000000"/>
          <w:u w:val="single"/>
        </w:rPr>
        <w:t xml:space="preserve">VII. A gazdálkodással kapcsolatos feladat- és hatáskörök: </w:t>
      </w:r>
    </w:p>
    <w:p w:rsidR="009E2181" w:rsidRPr="00A80881" w:rsidRDefault="009E2181" w:rsidP="009E2181">
      <w:pPr>
        <w:autoSpaceDE w:val="0"/>
        <w:autoSpaceDN w:val="0"/>
        <w:adjustRightInd w:val="0"/>
        <w:rPr>
          <w:color w:val="000000"/>
        </w:rPr>
      </w:pPr>
    </w:p>
    <w:p w:rsidR="009E2181" w:rsidRPr="00A80881" w:rsidRDefault="009E2181" w:rsidP="009E2181">
      <w:pPr>
        <w:pStyle w:val="ListParagraph"/>
        <w:numPr>
          <w:ilvl w:val="0"/>
          <w:numId w:val="11"/>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Dönt az általános és céltartalékok felhasználásáról a Képviselő-testület által meghatározott keretek között. </w:t>
      </w:r>
    </w:p>
    <w:p w:rsidR="009E2181" w:rsidRPr="00A80881" w:rsidRDefault="009E2181" w:rsidP="009E2181">
      <w:pPr>
        <w:pStyle w:val="ListParagraph"/>
        <w:numPr>
          <w:ilvl w:val="0"/>
          <w:numId w:val="11"/>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Az Önkormányzat elfogadott költségvetéséről készített elemi költségvetést képviselő-testület elé terjesztésének határidejét követő 30 napon belül a Magyar Államkincstár területi igazgatóságához benyújtja. </w:t>
      </w:r>
    </w:p>
    <w:p w:rsidR="009E2181" w:rsidRPr="00A80881" w:rsidRDefault="009E2181" w:rsidP="009E2181">
      <w:pPr>
        <w:pStyle w:val="ListParagraph"/>
        <w:numPr>
          <w:ilvl w:val="0"/>
          <w:numId w:val="11"/>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Évközi, év végi költségvetési beszámolót és havi pénzforgalmi jelentést készít. </w:t>
      </w:r>
    </w:p>
    <w:p w:rsidR="009E2181" w:rsidRPr="00A80881" w:rsidRDefault="009E2181" w:rsidP="009E2181">
      <w:pPr>
        <w:pStyle w:val="ListParagraph"/>
        <w:numPr>
          <w:ilvl w:val="0"/>
          <w:numId w:val="11"/>
        </w:numPr>
        <w:autoSpaceDE w:val="0"/>
        <w:autoSpaceDN w:val="0"/>
        <w:adjustRightInd w:val="0"/>
        <w:spacing w:after="0" w:line="240" w:lineRule="auto"/>
        <w:jc w:val="both"/>
        <w:rPr>
          <w:rFonts w:ascii="Times New Roman" w:hAnsi="Times New Roman"/>
          <w:i w:val="0"/>
          <w:sz w:val="24"/>
          <w:szCs w:val="24"/>
        </w:rPr>
      </w:pPr>
      <w:r w:rsidRPr="00A80881">
        <w:rPr>
          <w:rFonts w:ascii="Times New Roman" w:hAnsi="Times New Roman"/>
          <w:i w:val="0"/>
          <w:sz w:val="24"/>
          <w:szCs w:val="24"/>
        </w:rPr>
        <w:t xml:space="preserve">Értékhatárra tekintet nélkül elfogadja és felhasználja a magánszemélyek és jogi személyek által tett közérdekű kötelezettségvállalásokat, ha azok a jogszabályi előírásoknak megfelelnek és a következő célokra, feladatokra történnek: </w:t>
      </w:r>
    </w:p>
    <w:p w:rsidR="009E2181" w:rsidRPr="00A80881" w:rsidRDefault="009E2181" w:rsidP="009E2181">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egészség megőrzés, betegség megelőzés, gyógyító-, egészségügyi rehabilitációs tevékenység, </w:t>
      </w:r>
    </w:p>
    <w:p w:rsidR="009E2181" w:rsidRPr="00A80881" w:rsidRDefault="009E2181" w:rsidP="009E2181">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szociális tevékenység, családsegítés, időskorúak gondozása, </w:t>
      </w:r>
    </w:p>
    <w:p w:rsidR="009E2181" w:rsidRPr="00A80881" w:rsidRDefault="009E2181" w:rsidP="009E2181">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nevelés és oktatás, képességfejlesztés, ismeretterjesztés, </w:t>
      </w:r>
    </w:p>
    <w:p w:rsidR="009E2181" w:rsidRPr="00A80881" w:rsidRDefault="009E2181" w:rsidP="009E2181">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kulturális tevékenység, </w:t>
      </w:r>
    </w:p>
    <w:p w:rsidR="009E2181" w:rsidRPr="00A80881" w:rsidRDefault="009E2181" w:rsidP="009E2181">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kulturális örökség megóvása, </w:t>
      </w:r>
    </w:p>
    <w:p w:rsidR="009E2181" w:rsidRPr="00A80881" w:rsidRDefault="009E2181" w:rsidP="009E2181">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műemlékvédelem, </w:t>
      </w:r>
    </w:p>
    <w:p w:rsidR="009E2181" w:rsidRPr="00A80881" w:rsidRDefault="009E2181" w:rsidP="009E2181">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természetvédelem, állatvédelem, </w:t>
      </w:r>
    </w:p>
    <w:p w:rsidR="009E2181" w:rsidRPr="00A80881" w:rsidRDefault="009E2181" w:rsidP="009E2181">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környezetvédelem, </w:t>
      </w:r>
    </w:p>
    <w:p w:rsidR="009E2181" w:rsidRPr="00A80881" w:rsidRDefault="009E2181" w:rsidP="009E2181">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gyermek- és ifjúságvédelem, gyermek- és ifjúsági érdekképviselet, </w:t>
      </w:r>
    </w:p>
    <w:p w:rsidR="009E2181" w:rsidRPr="00A80881" w:rsidRDefault="009E2181" w:rsidP="009E2181">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hátrányos helyzetű csoportok társadalmi esélyegyenlőségének elősegítése, </w:t>
      </w:r>
    </w:p>
    <w:p w:rsidR="009E2181" w:rsidRPr="00A80881" w:rsidRDefault="009E2181" w:rsidP="009E2181">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emberi és állampolgári jogok védelme, </w:t>
      </w:r>
    </w:p>
    <w:p w:rsidR="009E2181" w:rsidRPr="00A80881" w:rsidRDefault="009E2181" w:rsidP="009E2181">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magyarországi nemzeti és etnikai kisebbségekkel, valamint a határon túli magyarsággal kapcsolatos tevékenység, </w:t>
      </w:r>
    </w:p>
    <w:p w:rsidR="009E2181" w:rsidRPr="00A80881" w:rsidRDefault="009E2181" w:rsidP="009E2181">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sport, a munkaviszonyban és a polgári jogi jogviszony keretében megbízás alapján folytatott sporttevékenység kivételével, </w:t>
      </w:r>
    </w:p>
    <w:p w:rsidR="009E2181" w:rsidRPr="00A80881" w:rsidRDefault="009E2181" w:rsidP="009E2181">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közrend és közlekedés biztonság védelme, önkéntes tűzoltás, mentés, katasztrófa- elhárítás, </w:t>
      </w:r>
    </w:p>
    <w:p w:rsidR="009E2181" w:rsidRPr="00A80881" w:rsidRDefault="009E2181" w:rsidP="009E2181">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belvízvédelem ellátásához kapcsolódó tevékenység, </w:t>
      </w:r>
    </w:p>
    <w:p w:rsidR="009E2181" w:rsidRPr="00A80881" w:rsidRDefault="009E2181" w:rsidP="009E2181">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közforgalom számára megnyitott út, híd fejlesztéséhez, fenntartásához és üzemeltetéséhez kapcsolódó tevékenység. </w:t>
      </w:r>
    </w:p>
    <w:p w:rsidR="009E2181" w:rsidRPr="00A80881" w:rsidRDefault="009E2181" w:rsidP="009E2181">
      <w:pPr>
        <w:pStyle w:val="ListParagraph"/>
        <w:numPr>
          <w:ilvl w:val="0"/>
          <w:numId w:val="11"/>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Kiállítja a szükséges igazolást a közérdekű kötelezettségvállaló részére. </w:t>
      </w:r>
    </w:p>
    <w:p w:rsidR="009E2181" w:rsidRPr="00A80881" w:rsidRDefault="009E2181" w:rsidP="009E2181">
      <w:pPr>
        <w:pStyle w:val="ListParagraph"/>
        <w:autoSpaceDE w:val="0"/>
        <w:autoSpaceDN w:val="0"/>
        <w:adjustRightInd w:val="0"/>
        <w:spacing w:after="0" w:line="240" w:lineRule="auto"/>
        <w:jc w:val="both"/>
        <w:rPr>
          <w:rFonts w:ascii="Times New Roman" w:hAnsi="Times New Roman"/>
          <w:i w:val="0"/>
          <w:color w:val="000000"/>
          <w:sz w:val="24"/>
          <w:szCs w:val="24"/>
        </w:rPr>
      </w:pPr>
    </w:p>
    <w:p w:rsidR="009E2181" w:rsidRPr="00A80881" w:rsidRDefault="009E2181" w:rsidP="009E2181">
      <w:pPr>
        <w:autoSpaceDE w:val="0"/>
        <w:autoSpaceDN w:val="0"/>
        <w:adjustRightInd w:val="0"/>
        <w:rPr>
          <w:b/>
          <w:bCs/>
          <w:color w:val="000000"/>
          <w:u w:val="single"/>
        </w:rPr>
      </w:pPr>
    </w:p>
    <w:p w:rsidR="009E2181" w:rsidRPr="00A80881" w:rsidRDefault="009E2181" w:rsidP="009E2181">
      <w:pPr>
        <w:autoSpaceDE w:val="0"/>
        <w:autoSpaceDN w:val="0"/>
        <w:adjustRightInd w:val="0"/>
        <w:rPr>
          <w:b/>
          <w:bCs/>
          <w:color w:val="000000"/>
          <w:u w:val="single"/>
        </w:rPr>
      </w:pPr>
      <w:r w:rsidRPr="00A80881">
        <w:rPr>
          <w:b/>
          <w:bCs/>
          <w:color w:val="000000"/>
          <w:u w:val="single"/>
        </w:rPr>
        <w:t>VIII. Az Önkormányzat vagyonával kapcsolatos feladat- és hatáskörök:</w:t>
      </w:r>
    </w:p>
    <w:p w:rsidR="009E2181" w:rsidRPr="00A80881" w:rsidRDefault="009E2181" w:rsidP="009E2181">
      <w:pPr>
        <w:autoSpaceDE w:val="0"/>
        <w:autoSpaceDN w:val="0"/>
        <w:adjustRightInd w:val="0"/>
        <w:rPr>
          <w:color w:val="000000"/>
        </w:rPr>
      </w:pPr>
    </w:p>
    <w:p w:rsidR="009E2181" w:rsidRPr="00A80881" w:rsidRDefault="009E2181" w:rsidP="009E2181">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Értékesíti az Önkormányzat tulajdonában lévő egyedi értékként bruttó 200. 000.-Ft értékhatár alatti ingóságokat, ide nem értve a vagyoni értékű jogokat. </w:t>
      </w:r>
    </w:p>
    <w:p w:rsidR="009E2181" w:rsidRPr="00A80881" w:rsidRDefault="009E2181" w:rsidP="009E2181">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Bérbe adja az Önkormányzat tulajdonában lévő, </w:t>
      </w:r>
      <w:smartTag w:uri="urn:schemas-microsoft-com:office:smarttags" w:element="metricconverter">
        <w:smartTagPr>
          <w:attr w:name="ProductID" w:val="1000 n￩gyzetm￩ter"/>
        </w:smartTagPr>
        <w:r w:rsidRPr="00A80881">
          <w:rPr>
            <w:rFonts w:ascii="Times New Roman" w:hAnsi="Times New Roman"/>
            <w:i w:val="0"/>
            <w:color w:val="000000"/>
            <w:sz w:val="24"/>
            <w:szCs w:val="24"/>
          </w:rPr>
          <w:t>1000 négyzetméter</w:t>
        </w:r>
      </w:smartTag>
      <w:r w:rsidRPr="00A80881">
        <w:rPr>
          <w:rFonts w:ascii="Times New Roman" w:hAnsi="Times New Roman"/>
          <w:i w:val="0"/>
          <w:color w:val="000000"/>
          <w:sz w:val="24"/>
          <w:szCs w:val="24"/>
        </w:rPr>
        <w:t xml:space="preserve"> alatti telkeket. </w:t>
      </w:r>
    </w:p>
    <w:p w:rsidR="009E2181" w:rsidRPr="00A80881" w:rsidRDefault="009E2181" w:rsidP="009E2181">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Bérbe adja az Önkormányzat tulajdonában lévő mezőgazdasági rendeltetésű földterületeket 100.000 Ft/év értékhatárig. </w:t>
      </w:r>
    </w:p>
    <w:p w:rsidR="009E2181" w:rsidRPr="00A80881" w:rsidRDefault="009E2181" w:rsidP="009E2181">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Gyakorolja az Önkormányzatot megillető egyéb tulajdonosi jogokat az </w:t>
      </w:r>
      <w:smartTag w:uri="urn:schemas-microsoft-com:office:smarttags" w:element="metricconverter">
        <w:smartTagPr>
          <w:attr w:name="ProductID" w:val="1000 n￩gyzetm￩ter"/>
        </w:smartTagPr>
        <w:r w:rsidRPr="00A80881">
          <w:rPr>
            <w:rFonts w:ascii="Times New Roman" w:hAnsi="Times New Roman"/>
            <w:i w:val="0"/>
            <w:color w:val="000000"/>
            <w:sz w:val="24"/>
            <w:szCs w:val="24"/>
          </w:rPr>
          <w:t>1000 négyzetméter</w:t>
        </w:r>
      </w:smartTag>
      <w:r w:rsidRPr="00A80881">
        <w:rPr>
          <w:rFonts w:ascii="Times New Roman" w:hAnsi="Times New Roman"/>
          <w:i w:val="0"/>
          <w:color w:val="000000"/>
          <w:sz w:val="24"/>
          <w:szCs w:val="24"/>
        </w:rPr>
        <w:t xml:space="preserve"> alatti telkek, a 3.000.000.-Ft értékhatár alatti ingatlanok vonatkozásában. </w:t>
      </w:r>
    </w:p>
    <w:p w:rsidR="009E2181" w:rsidRPr="00A80881" w:rsidRDefault="009E2181" w:rsidP="009E2181">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Hozzájárul a jelzálog törléséhez a kölcsönök visszafizetése esetén. </w:t>
      </w:r>
    </w:p>
    <w:p w:rsidR="009E2181" w:rsidRPr="00A80881" w:rsidRDefault="009E2181" w:rsidP="009E2181">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Hozzájárulást ad - az elidegenítési és terhelési tilalom Önkormányzatot követő sorrendben történő bejegyzéséhez – az elidegenítési és terhelési tilalommal értékesített önkormányzati ingatlanok felújítása, korszerűsítése, bővítése és közművesítés esetén – a megjelölt célokra, a pénzintézet által nyújtott kölcsön összegéig.</w:t>
      </w:r>
    </w:p>
    <w:p w:rsidR="009E2181" w:rsidRPr="00A80881" w:rsidRDefault="009E2181" w:rsidP="009E2181">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helyi támogatás nyújtására létrejött szerződések igénylői illetve a támogatottak általi megszegése esetén a szerződéseket felmondja és intézkedik az Önkormányzat követelésének érvényesítése iránt. Amennyiben valamely szerződés kapcsán méltányosság gyakorlására lát okot, a kérdést a Képviselő-testület elé terjeszti döntés végett. </w:t>
      </w:r>
    </w:p>
    <w:p w:rsidR="009E2181" w:rsidRPr="00A80881" w:rsidRDefault="009E2181" w:rsidP="009E2181">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polgármester hozzájárulást ad az önkormányzat által értékesített ingatlanok vonatkozásában hitelt folyósító pénzintézet jelzálogjogának az önkormányzatot megelőző ranghelyen történő bejegyzéséhez értékhatár nélkül, amennyiben a tulajdonos az önkormányzattal szembeni tartozással nincs hátralékban. </w:t>
      </w:r>
    </w:p>
    <w:p w:rsidR="009E2181" w:rsidRPr="00A80881" w:rsidRDefault="009E2181" w:rsidP="009E2181">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polgármester hozzájárulást ad a munkáltatói kölcsön és helyi támogatás alapján bejegyzett jelzálogjogot megelőző helyen a hitelt folyósító pénzintézet jelzálogjogának bejegyzéséhez. </w:t>
      </w:r>
    </w:p>
    <w:p w:rsidR="009E2181" w:rsidRPr="00A80881" w:rsidRDefault="009E2181" w:rsidP="009E2181">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A nem önkormányzati  beruházásában létesülő új szennyvízcsatorna hálózatot, csapadékvíz hálózatot, vízvezeték hálózatot, gázvezeték hálózatot, elektromos hálózatot és azok műtárgyait, valamint az újonnan felszerelt közvilágítási lámpatesteket térítésmentesen átveheti a beruházótól.</w:t>
      </w:r>
    </w:p>
    <w:p w:rsidR="009E2181" w:rsidRPr="00A80881" w:rsidRDefault="009E2181" w:rsidP="009E2181">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korlátozottan forgalomképes vagyontárgyak közül az önkormányzat beruházásában történő, az üzemeltető tulajdonában lévő elektromos szerkezetek, berendezések, szennyvízcsatorna hálózatok, csapadékvíz hálózatok, vízvezeték hálózatok, gázvezeték hálózatok, elektromos hálózatok cseréje, korszerűsítése, kiváltása esetén, azokat befejezetlen beruházásként írásos dokumentummal, értékhatár nélkül, térítésmentesen átadhatja az üzemeltető részére. </w:t>
      </w:r>
    </w:p>
    <w:p w:rsidR="009E2181" w:rsidRPr="00A80881" w:rsidRDefault="009E2181" w:rsidP="009E2181">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 tulajdonosi hozzájárulást az ingatlanok telekhatár rendezéséhez, szabályozásához. </w:t>
      </w:r>
    </w:p>
    <w:p w:rsidR="009E2181" w:rsidRPr="00A80881" w:rsidRDefault="009E2181" w:rsidP="009E2181">
      <w:pPr>
        <w:pStyle w:val="ListParagraph"/>
        <w:numPr>
          <w:ilvl w:val="0"/>
          <w:numId w:val="12"/>
        </w:numPr>
        <w:autoSpaceDE w:val="0"/>
        <w:autoSpaceDN w:val="0"/>
        <w:adjustRightInd w:val="0"/>
        <w:spacing w:after="0" w:line="240" w:lineRule="auto"/>
        <w:jc w:val="both"/>
        <w:rPr>
          <w:rFonts w:ascii="Times New Roman" w:hAnsi="Times New Roman"/>
          <w:i w:val="0"/>
          <w:sz w:val="24"/>
          <w:szCs w:val="24"/>
        </w:rPr>
      </w:pPr>
      <w:r w:rsidRPr="00A80881">
        <w:rPr>
          <w:rFonts w:ascii="Times New Roman" w:hAnsi="Times New Roman"/>
          <w:i w:val="0"/>
          <w:sz w:val="24"/>
          <w:szCs w:val="24"/>
        </w:rPr>
        <w:t>Gyakorolja az Önkormányzat vagyonáról, a vagyonnal való rendelkezés szabályairól szóló 12/2012. (X.25.) önkormányzati rendelete számú rendeletben foglalt hatásköröket.</w:t>
      </w:r>
    </w:p>
    <w:p w:rsidR="009E2181" w:rsidRPr="00A80881" w:rsidRDefault="009E2181" w:rsidP="009E2181">
      <w:pPr>
        <w:jc w:val="both"/>
      </w:pPr>
    </w:p>
    <w:p w:rsidR="009E2181" w:rsidRPr="00A80881" w:rsidRDefault="009E2181" w:rsidP="009E2181">
      <w:pPr>
        <w:jc w:val="both"/>
      </w:pPr>
    </w:p>
    <w:p w:rsidR="009E2181" w:rsidRPr="00A80881" w:rsidRDefault="009E2181" w:rsidP="009E2181">
      <w:pPr>
        <w:pStyle w:val="Default"/>
        <w:numPr>
          <w:ilvl w:val="0"/>
          <w:numId w:val="2"/>
        </w:numPr>
        <w:jc w:val="center"/>
        <w:rPr>
          <w:b/>
          <w:bCs/>
          <w:u w:val="single"/>
        </w:rPr>
      </w:pPr>
      <w:r w:rsidRPr="00A80881">
        <w:rPr>
          <w:b/>
          <w:bCs/>
          <w:u w:val="single"/>
        </w:rPr>
        <w:t>Ügyrendi Bizottság átruházott hatáskörei és feladatkörei</w:t>
      </w:r>
    </w:p>
    <w:p w:rsidR="009E2181" w:rsidRPr="00A80881" w:rsidRDefault="009E2181" w:rsidP="009E2181">
      <w:pPr>
        <w:pStyle w:val="Default"/>
      </w:pPr>
    </w:p>
    <w:p w:rsidR="009E2181" w:rsidRPr="00A80881" w:rsidRDefault="009E2181" w:rsidP="009E2181">
      <w:pPr>
        <w:numPr>
          <w:ilvl w:val="0"/>
          <w:numId w:val="13"/>
        </w:numPr>
        <w:autoSpaceDE w:val="0"/>
        <w:autoSpaceDN w:val="0"/>
        <w:adjustRightInd w:val="0"/>
        <w:spacing w:after="20"/>
        <w:jc w:val="both"/>
      </w:pPr>
      <w:r w:rsidRPr="00A80881">
        <w:t>Elvégzi a vagyonnyilatkozatok vizsgálatát, kezelését, őrzését és ellenőrzését (Mötv. 39.§ (3) bek., 57.§ (2) bek.)</w:t>
      </w:r>
    </w:p>
    <w:p w:rsidR="009E2181" w:rsidRPr="00A80881" w:rsidRDefault="009E2181" w:rsidP="009E2181">
      <w:pPr>
        <w:numPr>
          <w:ilvl w:val="0"/>
          <w:numId w:val="13"/>
        </w:numPr>
        <w:autoSpaceDE w:val="0"/>
        <w:autoSpaceDN w:val="0"/>
        <w:adjustRightInd w:val="0"/>
        <w:spacing w:after="20"/>
        <w:jc w:val="both"/>
      </w:pPr>
      <w:r w:rsidRPr="00A80881">
        <w:t>Elvégzi a képviselők összeférhetetlensége, illetve méltatlansága ügyében benyújtott kezdeményezések kivizsgálását (Mötv. 37.§ (3) bek., 38.§ (5) bek.)</w:t>
      </w:r>
    </w:p>
    <w:p w:rsidR="009E2181" w:rsidRPr="00A80881" w:rsidRDefault="009E2181" w:rsidP="009E2181">
      <w:pPr>
        <w:numPr>
          <w:ilvl w:val="0"/>
          <w:numId w:val="13"/>
        </w:numPr>
        <w:autoSpaceDE w:val="0"/>
        <w:autoSpaceDN w:val="0"/>
        <w:adjustRightInd w:val="0"/>
        <w:spacing w:after="20"/>
        <w:jc w:val="both"/>
      </w:pPr>
      <w:r w:rsidRPr="00A80881">
        <w:t xml:space="preserve">Átveszi a képviselő </w:t>
      </w:r>
      <w:r w:rsidRPr="00A80881">
        <w:rPr>
          <w:bCs/>
        </w:rPr>
        <w:t>lemondó nyilatkozatát, a képviselő a 30 napon belül nem megszüntethető összeférhetetlensége esetén. (Mötv. 37. § (1) bekezdés és 57. § (1) bekezdés)</w:t>
      </w:r>
    </w:p>
    <w:p w:rsidR="009E2181" w:rsidRPr="00A80881" w:rsidRDefault="009E2181" w:rsidP="009E2181">
      <w:pPr>
        <w:numPr>
          <w:ilvl w:val="0"/>
          <w:numId w:val="13"/>
        </w:numPr>
        <w:autoSpaceDE w:val="0"/>
        <w:autoSpaceDN w:val="0"/>
        <w:adjustRightInd w:val="0"/>
        <w:spacing w:after="20"/>
        <w:jc w:val="both"/>
      </w:pPr>
      <w:r w:rsidRPr="00A80881">
        <w:rPr>
          <w:bCs/>
        </w:rPr>
        <w:t>Ellátja a k</w:t>
      </w:r>
      <w:r w:rsidRPr="00A80881">
        <w:rPr>
          <w:snapToGrid w:val="0"/>
        </w:rPr>
        <w:t xml:space="preserve">épviselő-testület titkos szavazásainak lebonyolításával </w:t>
      </w:r>
      <w:r w:rsidRPr="00A80881">
        <w:rPr>
          <w:bCs/>
        </w:rPr>
        <w:t xml:space="preserve">kapcsolatos  feladatokat. </w:t>
      </w:r>
    </w:p>
    <w:p w:rsidR="009E2181" w:rsidRDefault="009E2181" w:rsidP="009E2181">
      <w:pPr>
        <w:spacing w:before="240" w:line="360" w:lineRule="auto"/>
      </w:pPr>
    </w:p>
    <w:p w:rsidR="00BF2C49" w:rsidRDefault="009E2181">
      <w:bookmarkStart w:id="0" w:name="_GoBack"/>
      <w:bookmarkEnd w:id="0"/>
    </w:p>
    <w:sectPr w:rsidR="00BF2C49">
      <w:footerReference w:type="even"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298" w:rsidRDefault="009E2181" w:rsidP="009A2678">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FC3298" w:rsidRDefault="009E2181" w:rsidP="00FD5D3D">
    <w:pPr>
      <w:pStyle w:val="ll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298" w:rsidRDefault="009E2181" w:rsidP="009A2678">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rsidR="00FC3298" w:rsidRDefault="009E2181" w:rsidP="00FD5D3D">
    <w:pPr>
      <w:pStyle w:val="llb"/>
      <w:ind w:right="360"/>
      <w:jc w:val="right"/>
    </w:pPr>
  </w:p>
  <w:p w:rsidR="00FC3298" w:rsidRDefault="009E2181">
    <w:pPr>
      <w:pStyle w:val="llb"/>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BE7"/>
    <w:multiLevelType w:val="hybridMultilevel"/>
    <w:tmpl w:val="AA9CD85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0A965AB9"/>
    <w:multiLevelType w:val="hybridMultilevel"/>
    <w:tmpl w:val="7AD018C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C204FA3"/>
    <w:multiLevelType w:val="hybridMultilevel"/>
    <w:tmpl w:val="3080FE4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0F264497"/>
    <w:multiLevelType w:val="hybridMultilevel"/>
    <w:tmpl w:val="E542AE1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15:restartNumberingAfterBreak="0">
    <w:nsid w:val="1E7113F3"/>
    <w:multiLevelType w:val="hybridMultilevel"/>
    <w:tmpl w:val="EEE2FF7A"/>
    <w:lvl w:ilvl="0" w:tplc="040E000F">
      <w:start w:val="1"/>
      <w:numFmt w:val="decimal"/>
      <w:lvlText w:val="%1."/>
      <w:lvlJc w:val="left"/>
      <w:pPr>
        <w:tabs>
          <w:tab w:val="num" w:pos="1080"/>
        </w:tabs>
        <w:ind w:left="1080" w:hanging="360"/>
      </w:pPr>
      <w:rPr>
        <w:rFonts w:cs="Times New Roman"/>
      </w:rPr>
    </w:lvl>
    <w:lvl w:ilvl="1" w:tplc="040E0019" w:tentative="1">
      <w:start w:val="1"/>
      <w:numFmt w:val="lowerLetter"/>
      <w:lvlText w:val="%2."/>
      <w:lvlJc w:val="left"/>
      <w:pPr>
        <w:tabs>
          <w:tab w:val="num" w:pos="1800"/>
        </w:tabs>
        <w:ind w:left="1800" w:hanging="360"/>
      </w:pPr>
      <w:rPr>
        <w:rFonts w:cs="Times New Roman"/>
      </w:rPr>
    </w:lvl>
    <w:lvl w:ilvl="2" w:tplc="040E001B">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40E6863"/>
    <w:multiLevelType w:val="hybridMultilevel"/>
    <w:tmpl w:val="B5A03FB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9612AE9"/>
    <w:multiLevelType w:val="hybridMultilevel"/>
    <w:tmpl w:val="1F52D86A"/>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41B172BB"/>
    <w:multiLevelType w:val="hybridMultilevel"/>
    <w:tmpl w:val="9A121336"/>
    <w:lvl w:ilvl="0" w:tplc="06789D98">
      <w:start w:val="1"/>
      <w:numFmt w:val="upperLetter"/>
      <w:lvlText w:val="%1)"/>
      <w:lvlJc w:val="left"/>
      <w:pPr>
        <w:ind w:left="720" w:hanging="360"/>
      </w:pPr>
      <w:rPr>
        <w:rFonts w:cs="Times New Roman" w:hint="default"/>
      </w:rPr>
    </w:lvl>
    <w:lvl w:ilvl="1" w:tplc="8A403B54">
      <w:start w:val="1"/>
      <w:numFmt w:val="decimal"/>
      <w:lvlText w:val="%2."/>
      <w:lvlJc w:val="left"/>
      <w:pPr>
        <w:ind w:left="1440" w:hanging="360"/>
      </w:pPr>
      <w:rPr>
        <w:rFonts w:cs="Times New Roman"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15:restartNumberingAfterBreak="0">
    <w:nsid w:val="4E251A5A"/>
    <w:multiLevelType w:val="hybridMultilevel"/>
    <w:tmpl w:val="4A98184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63707CA1"/>
    <w:multiLevelType w:val="hybridMultilevel"/>
    <w:tmpl w:val="D33AE1E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789C413E"/>
    <w:multiLevelType w:val="hybridMultilevel"/>
    <w:tmpl w:val="A554050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15:restartNumberingAfterBreak="0">
    <w:nsid w:val="7DAF7ECA"/>
    <w:multiLevelType w:val="hybridMultilevel"/>
    <w:tmpl w:val="D4323618"/>
    <w:lvl w:ilvl="0" w:tplc="040E0017">
      <w:start w:val="1"/>
      <w:numFmt w:val="lowerLetter"/>
      <w:lvlText w:val="%1)"/>
      <w:lvlJc w:val="left"/>
      <w:pPr>
        <w:ind w:left="84" w:hanging="360"/>
      </w:pPr>
      <w:rPr>
        <w:rFonts w:cs="Times New Roman"/>
      </w:rPr>
    </w:lvl>
    <w:lvl w:ilvl="1" w:tplc="040E0019" w:tentative="1">
      <w:start w:val="1"/>
      <w:numFmt w:val="lowerLetter"/>
      <w:lvlText w:val="%2."/>
      <w:lvlJc w:val="left"/>
      <w:pPr>
        <w:ind w:left="804" w:hanging="360"/>
      </w:pPr>
      <w:rPr>
        <w:rFonts w:cs="Times New Roman"/>
      </w:rPr>
    </w:lvl>
    <w:lvl w:ilvl="2" w:tplc="040E001B" w:tentative="1">
      <w:start w:val="1"/>
      <w:numFmt w:val="lowerRoman"/>
      <w:lvlText w:val="%3."/>
      <w:lvlJc w:val="right"/>
      <w:pPr>
        <w:ind w:left="1524" w:hanging="180"/>
      </w:pPr>
      <w:rPr>
        <w:rFonts w:cs="Times New Roman"/>
      </w:rPr>
    </w:lvl>
    <w:lvl w:ilvl="3" w:tplc="040E000F" w:tentative="1">
      <w:start w:val="1"/>
      <w:numFmt w:val="decimal"/>
      <w:lvlText w:val="%4."/>
      <w:lvlJc w:val="left"/>
      <w:pPr>
        <w:ind w:left="2244" w:hanging="360"/>
      </w:pPr>
      <w:rPr>
        <w:rFonts w:cs="Times New Roman"/>
      </w:rPr>
    </w:lvl>
    <w:lvl w:ilvl="4" w:tplc="040E0019" w:tentative="1">
      <w:start w:val="1"/>
      <w:numFmt w:val="lowerLetter"/>
      <w:lvlText w:val="%5."/>
      <w:lvlJc w:val="left"/>
      <w:pPr>
        <w:ind w:left="2964" w:hanging="360"/>
      </w:pPr>
      <w:rPr>
        <w:rFonts w:cs="Times New Roman"/>
      </w:rPr>
    </w:lvl>
    <w:lvl w:ilvl="5" w:tplc="040E001B" w:tentative="1">
      <w:start w:val="1"/>
      <w:numFmt w:val="lowerRoman"/>
      <w:lvlText w:val="%6."/>
      <w:lvlJc w:val="right"/>
      <w:pPr>
        <w:ind w:left="3684" w:hanging="180"/>
      </w:pPr>
      <w:rPr>
        <w:rFonts w:cs="Times New Roman"/>
      </w:rPr>
    </w:lvl>
    <w:lvl w:ilvl="6" w:tplc="040E000F" w:tentative="1">
      <w:start w:val="1"/>
      <w:numFmt w:val="decimal"/>
      <w:lvlText w:val="%7."/>
      <w:lvlJc w:val="left"/>
      <w:pPr>
        <w:ind w:left="4404" w:hanging="360"/>
      </w:pPr>
      <w:rPr>
        <w:rFonts w:cs="Times New Roman"/>
      </w:rPr>
    </w:lvl>
    <w:lvl w:ilvl="7" w:tplc="040E0019" w:tentative="1">
      <w:start w:val="1"/>
      <w:numFmt w:val="lowerLetter"/>
      <w:lvlText w:val="%8."/>
      <w:lvlJc w:val="left"/>
      <w:pPr>
        <w:ind w:left="5124" w:hanging="360"/>
      </w:pPr>
      <w:rPr>
        <w:rFonts w:cs="Times New Roman"/>
      </w:rPr>
    </w:lvl>
    <w:lvl w:ilvl="8" w:tplc="040E001B" w:tentative="1">
      <w:start w:val="1"/>
      <w:numFmt w:val="lowerRoman"/>
      <w:lvlText w:val="%9."/>
      <w:lvlJc w:val="right"/>
      <w:pPr>
        <w:ind w:left="5844" w:hanging="180"/>
      </w:pPr>
      <w:rPr>
        <w:rFonts w:cs="Times New Roman"/>
      </w:rPr>
    </w:lvl>
  </w:abstractNum>
  <w:abstractNum w:abstractNumId="12" w15:restartNumberingAfterBreak="0">
    <w:nsid w:val="7F8C04DF"/>
    <w:multiLevelType w:val="hybridMultilevel"/>
    <w:tmpl w:val="FA6E01F4"/>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1"/>
  </w:num>
  <w:num w:numId="2">
    <w:abstractNumId w:val="7"/>
  </w:num>
  <w:num w:numId="3">
    <w:abstractNumId w:val="12"/>
  </w:num>
  <w:num w:numId="4">
    <w:abstractNumId w:val="9"/>
  </w:num>
  <w:num w:numId="5">
    <w:abstractNumId w:val="2"/>
  </w:num>
  <w:num w:numId="6">
    <w:abstractNumId w:val="8"/>
  </w:num>
  <w:num w:numId="7">
    <w:abstractNumId w:val="3"/>
  </w:num>
  <w:num w:numId="8">
    <w:abstractNumId w:val="0"/>
  </w:num>
  <w:num w:numId="9">
    <w:abstractNumId w:val="6"/>
  </w:num>
  <w:num w:numId="10">
    <w:abstractNumId w:val="10"/>
  </w:num>
  <w:num w:numId="11">
    <w:abstractNumId w:val="5"/>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visionView w:markup="0"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BA2"/>
    <w:rsid w:val="001E15EE"/>
    <w:rsid w:val="009E2181"/>
    <w:rsid w:val="00C60BA2"/>
    <w:rsid w:val="00E676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869FC5F-C25F-46F2-88D3-513E4349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E2181"/>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C60BA2"/>
    <w:pPr>
      <w:tabs>
        <w:tab w:val="center" w:pos="4536"/>
        <w:tab w:val="right" w:pos="9072"/>
      </w:tabs>
    </w:pPr>
  </w:style>
  <w:style w:type="character" w:customStyle="1" w:styleId="llbChar">
    <w:name w:val="Élőláb Char"/>
    <w:basedOn w:val="Bekezdsalapbettpusa"/>
    <w:link w:val="llb"/>
    <w:uiPriority w:val="99"/>
    <w:rsid w:val="00C60BA2"/>
    <w:rPr>
      <w:rFonts w:ascii="Times New Roman" w:eastAsia="Times New Roman" w:hAnsi="Times New Roman" w:cs="Times New Roman"/>
      <w:sz w:val="24"/>
      <w:szCs w:val="24"/>
      <w:lang w:eastAsia="hu-HU"/>
    </w:rPr>
  </w:style>
  <w:style w:type="character" w:styleId="Oldalszm">
    <w:name w:val="page number"/>
    <w:basedOn w:val="Bekezdsalapbettpusa"/>
    <w:rsid w:val="00C60BA2"/>
  </w:style>
  <w:style w:type="paragraph" w:customStyle="1" w:styleId="ListParagraph">
    <w:name w:val="List Paragraph"/>
    <w:basedOn w:val="Norml"/>
    <w:rsid w:val="009E2181"/>
    <w:pPr>
      <w:spacing w:after="200" w:line="288" w:lineRule="auto"/>
      <w:ind w:left="720"/>
      <w:contextualSpacing/>
    </w:pPr>
    <w:rPr>
      <w:rFonts w:ascii="Calibri" w:hAnsi="Calibri"/>
      <w:i/>
      <w:iCs/>
      <w:sz w:val="20"/>
      <w:szCs w:val="20"/>
      <w:lang w:eastAsia="en-US"/>
    </w:rPr>
  </w:style>
  <w:style w:type="paragraph" w:customStyle="1" w:styleId="Default">
    <w:name w:val="Default"/>
    <w:rsid w:val="009E218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11407</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2020-03-09T22:20:00Z</dcterms:created>
  <dcterms:modified xsi:type="dcterms:W3CDTF">2020-03-09T22:20:00Z</dcterms:modified>
</cp:coreProperties>
</file>