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2340" w:rsidRPr="00CA022E" w:rsidRDefault="00F30853" w:rsidP="00712340">
      <w:pPr>
        <w:spacing w:after="0" w:line="240" w:lineRule="auto"/>
        <w:jc w:val="right"/>
        <w:rPr>
          <w:rFonts w:ascii="Book Antiqua" w:eastAsia="Times New Roman" w:hAnsi="Book Antiqua"/>
          <w:lang w:eastAsia="hu-HU"/>
        </w:rPr>
      </w:pPr>
      <w:r>
        <w:rPr>
          <w:rFonts w:ascii="Book Antiqua" w:eastAsia="Times New Roman" w:hAnsi="Book Antiqua"/>
          <w:lang w:eastAsia="hu-HU"/>
        </w:rPr>
        <w:t>2</w:t>
      </w:r>
      <w:r w:rsidR="00712340" w:rsidRPr="00CA022E">
        <w:rPr>
          <w:rFonts w:ascii="Book Antiqua" w:eastAsia="Times New Roman" w:hAnsi="Book Antiqua"/>
          <w:lang w:eastAsia="hu-HU"/>
        </w:rPr>
        <w:t>. számú melléklet</w:t>
      </w:r>
    </w:p>
    <w:p w:rsidR="00712340" w:rsidRPr="00966861" w:rsidRDefault="00712340" w:rsidP="007123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</w:p>
    <w:p w:rsidR="00712340" w:rsidRPr="00966861" w:rsidRDefault="00712340" w:rsidP="0071234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</w:p>
    <w:p w:rsidR="00712340" w:rsidRPr="00966861" w:rsidRDefault="00712340" w:rsidP="00712340">
      <w:pPr>
        <w:spacing w:after="120"/>
        <w:jc w:val="center"/>
        <w:rPr>
          <w:rFonts w:ascii="Book Antiqua" w:hAnsi="Book Antiqua"/>
          <w:b/>
          <w:bCs/>
          <w:sz w:val="24"/>
          <w:szCs w:val="24"/>
        </w:rPr>
      </w:pPr>
      <w:r w:rsidRPr="00966861">
        <w:rPr>
          <w:rFonts w:ascii="Book Antiqua" w:hAnsi="Book Antiqua"/>
          <w:b/>
          <w:bCs/>
          <w:sz w:val="24"/>
          <w:szCs w:val="24"/>
        </w:rPr>
        <w:t>ELŐZETES HATÁSVIZSGÁLAT</w:t>
      </w:r>
    </w:p>
    <w:p w:rsidR="00712340" w:rsidRPr="00966861" w:rsidRDefault="00712340" w:rsidP="00712340">
      <w:pPr>
        <w:spacing w:after="120"/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27"/>
        <w:gridCol w:w="137"/>
        <w:gridCol w:w="42"/>
        <w:gridCol w:w="1727"/>
        <w:gridCol w:w="744"/>
        <w:gridCol w:w="1295"/>
        <w:gridCol w:w="1372"/>
        <w:gridCol w:w="700"/>
        <w:gridCol w:w="1424"/>
      </w:tblGrid>
      <w:tr w:rsidR="00712340" w:rsidRPr="00966861" w:rsidTr="00A72EB4">
        <w:trPr>
          <w:trHeight w:val="683"/>
        </w:trPr>
        <w:tc>
          <w:tcPr>
            <w:tcW w:w="2819" w:type="dxa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Rendelet-tervezet címe:</w:t>
            </w:r>
          </w:p>
        </w:tc>
        <w:tc>
          <w:tcPr>
            <w:tcW w:w="11279" w:type="dxa"/>
            <w:gridSpan w:val="8"/>
          </w:tcPr>
          <w:p w:rsidR="00712340" w:rsidRPr="00966861" w:rsidRDefault="0064466C" w:rsidP="0064466C">
            <w:pPr>
              <w:spacing w:after="0" w:line="240" w:lineRule="auto"/>
              <w:jc w:val="both"/>
              <w:rPr>
                <w:rFonts w:ascii="Book Antiqua" w:eastAsia="Times New Roman" w:hAnsi="Book Antiqua"/>
                <w:b/>
                <w:lang w:eastAsia="hu-HU"/>
              </w:rPr>
            </w:pPr>
            <w:r>
              <w:rPr>
                <w:rFonts w:ascii="Book Antiqua" w:eastAsia="Times New Roman" w:hAnsi="Book Antiqua"/>
                <w:b/>
                <w:lang w:eastAsia="hu-HU"/>
              </w:rPr>
              <w:t>Keszthely Város Polgármestere …/2020. (..) önkormányzati rendelete</w:t>
            </w:r>
            <w:r w:rsidRPr="0093438B">
              <w:rPr>
                <w:rFonts w:ascii="Book Antiqua" w:hAnsi="Book Antiqua"/>
                <w:b/>
              </w:rPr>
              <w:t xml:space="preserve"> </w:t>
            </w:r>
            <w:r w:rsidR="00D576D8">
              <w:rPr>
                <w:rFonts w:ascii="Book Antiqua" w:hAnsi="Book Antiqua"/>
                <w:b/>
              </w:rPr>
              <w:t xml:space="preserve">a </w:t>
            </w:r>
            <w:r w:rsidRPr="0093438B">
              <w:rPr>
                <w:rFonts w:ascii="Book Antiqua" w:hAnsi="Book Antiqua"/>
                <w:b/>
              </w:rPr>
              <w:t>köztéri játszóterek, valamint az egyéb, közterületen elhelyezett kültéri sporteszközök, valamint bármely szabadidős tevékenység végzésére szolgáló eszközök, berendezések használatának tiltásáról</w:t>
            </w:r>
            <w:r>
              <w:rPr>
                <w:rFonts w:ascii="Book Antiqua" w:eastAsia="Times New Roman" w:hAnsi="Book Antiqua"/>
                <w:b/>
                <w:lang w:eastAsia="hu-HU"/>
              </w:rPr>
              <w:t xml:space="preserve"> </w:t>
            </w:r>
            <w:r w:rsidR="00F30853">
              <w:rPr>
                <w:rFonts w:ascii="Book Antiqua" w:eastAsia="Times New Roman" w:hAnsi="Book Antiqua"/>
                <w:b/>
                <w:lang w:eastAsia="hu-HU"/>
              </w:rPr>
              <w:t xml:space="preserve">szóló </w:t>
            </w:r>
            <w:r w:rsidR="00D576D8">
              <w:rPr>
                <w:rFonts w:ascii="Book Antiqua" w:hAnsi="Book Antiqua"/>
                <w:b/>
              </w:rPr>
              <w:t>13/2020. (IV. 15.) önkormányzati</w:t>
            </w:r>
            <w:r w:rsidR="00D576D8" w:rsidRPr="009B3E67">
              <w:rPr>
                <w:rFonts w:ascii="Book Antiqua" w:hAnsi="Book Antiqua"/>
                <w:b/>
              </w:rPr>
              <w:t xml:space="preserve"> rendelet </w:t>
            </w:r>
            <w:r w:rsidR="00D576D8">
              <w:rPr>
                <w:rFonts w:ascii="Book Antiqua" w:hAnsi="Book Antiqua"/>
                <w:b/>
              </w:rPr>
              <w:t>hatályon kívül helyezés</w:t>
            </w:r>
            <w:r w:rsidR="00D576D8">
              <w:rPr>
                <w:rFonts w:ascii="Book Antiqua" w:hAnsi="Book Antiqua"/>
                <w:b/>
              </w:rPr>
              <w:t>éről</w:t>
            </w:r>
          </w:p>
        </w:tc>
      </w:tr>
      <w:tr w:rsidR="00712340" w:rsidRPr="00966861" w:rsidTr="00A72EB4">
        <w:trPr>
          <w:trHeight w:val="440"/>
        </w:trPr>
        <w:tc>
          <w:tcPr>
            <w:tcW w:w="14098" w:type="dxa"/>
            <w:gridSpan w:val="9"/>
          </w:tcPr>
          <w:p w:rsidR="00712340" w:rsidRPr="00966861" w:rsidRDefault="00712340" w:rsidP="00A72EB4">
            <w:pPr>
              <w:spacing w:after="0" w:line="240" w:lineRule="auto"/>
              <w:jc w:val="center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Rendelet-tervezet valamennyi jelentős hatása, különösen</w:t>
            </w:r>
          </w:p>
        </w:tc>
      </w:tr>
      <w:tr w:rsidR="00F677E9" w:rsidRPr="00966861" w:rsidTr="00A72EB4">
        <w:trPr>
          <w:trHeight w:val="620"/>
        </w:trPr>
        <w:tc>
          <w:tcPr>
            <w:tcW w:w="3708" w:type="dxa"/>
            <w:gridSpan w:val="3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Társadalmi, gazdasági hatás</w:t>
            </w:r>
          </w:p>
        </w:tc>
        <w:tc>
          <w:tcPr>
            <w:tcW w:w="2597" w:type="dxa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Költségvetési hatás</w:t>
            </w:r>
          </w:p>
        </w:tc>
        <w:tc>
          <w:tcPr>
            <w:tcW w:w="2598" w:type="dxa"/>
            <w:gridSpan w:val="2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Környezeti, egészségügyi következmények</w:t>
            </w:r>
          </w:p>
        </w:tc>
        <w:tc>
          <w:tcPr>
            <w:tcW w:w="2597" w:type="dxa"/>
            <w:gridSpan w:val="2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Adminisztratív terheket befolyásoló hatás</w:t>
            </w:r>
          </w:p>
        </w:tc>
        <w:tc>
          <w:tcPr>
            <w:tcW w:w="2598" w:type="dxa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Egyéb hatás</w:t>
            </w:r>
          </w:p>
        </w:tc>
      </w:tr>
      <w:tr w:rsidR="00F677E9" w:rsidRPr="00966861" w:rsidTr="00A72EB4">
        <w:trPr>
          <w:trHeight w:val="1134"/>
        </w:trPr>
        <w:tc>
          <w:tcPr>
            <w:tcW w:w="3708" w:type="dxa"/>
            <w:gridSpan w:val="3"/>
          </w:tcPr>
          <w:p w:rsidR="00712340" w:rsidRPr="009F2277" w:rsidRDefault="00D576D8" w:rsidP="00A72EB4">
            <w:pPr>
              <w:spacing w:after="0" w:line="240" w:lineRule="auto"/>
              <w:rPr>
                <w:rFonts w:ascii="Book Antiqua" w:hAnsi="Book Antiqua" w:cs="Book Antiqua"/>
                <w:sz w:val="18"/>
                <w:szCs w:val="18"/>
              </w:rPr>
            </w:pPr>
            <w:r>
              <w:rPr>
                <w:rFonts w:ascii="Book Antiqua" w:hAnsi="Book Antiqua" w:cs="Book Antiqua"/>
                <w:sz w:val="18"/>
                <w:szCs w:val="18"/>
              </w:rPr>
              <w:t>Nincs</w:t>
            </w:r>
          </w:p>
        </w:tc>
        <w:tc>
          <w:tcPr>
            <w:tcW w:w="2597" w:type="dxa"/>
          </w:tcPr>
          <w:p w:rsidR="00712340" w:rsidRPr="00966861" w:rsidRDefault="00712340" w:rsidP="00A72EB4">
            <w:pPr>
              <w:rPr>
                <w:rFonts w:ascii="Book Antiqua" w:hAnsi="Book Antiqua"/>
              </w:rPr>
            </w:pPr>
            <w:r w:rsidRPr="00966861">
              <w:rPr>
                <w:rFonts w:ascii="Book Antiqua" w:hAnsi="Book Antiqua"/>
              </w:rPr>
              <w:t xml:space="preserve">Nincs </w:t>
            </w:r>
          </w:p>
        </w:tc>
        <w:tc>
          <w:tcPr>
            <w:tcW w:w="2598" w:type="dxa"/>
            <w:gridSpan w:val="2"/>
          </w:tcPr>
          <w:p w:rsidR="00712340" w:rsidRPr="00966861" w:rsidRDefault="00D576D8" w:rsidP="00A72EB4">
            <w:pPr>
              <w:spacing w:after="0" w:line="240" w:lineRule="auto"/>
              <w:jc w:val="both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Nincs</w:t>
            </w:r>
          </w:p>
        </w:tc>
        <w:tc>
          <w:tcPr>
            <w:tcW w:w="2597" w:type="dxa"/>
            <w:gridSpan w:val="2"/>
          </w:tcPr>
          <w:p w:rsidR="00712340" w:rsidRPr="00966861" w:rsidRDefault="00712340" w:rsidP="00A72EB4">
            <w:pPr>
              <w:spacing w:after="0" w:line="240" w:lineRule="auto"/>
              <w:jc w:val="both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Nem jelentős</w:t>
            </w:r>
          </w:p>
        </w:tc>
        <w:tc>
          <w:tcPr>
            <w:tcW w:w="2598" w:type="dxa"/>
          </w:tcPr>
          <w:p w:rsidR="00712340" w:rsidRPr="00966861" w:rsidRDefault="00712340" w:rsidP="00A72EB4">
            <w:pPr>
              <w:spacing w:after="0" w:line="240" w:lineRule="auto"/>
              <w:jc w:val="both"/>
              <w:rPr>
                <w:rFonts w:ascii="Book Antiqua" w:hAnsi="Book Antiqua" w:cs="Book Antiqua"/>
              </w:rPr>
            </w:pPr>
            <w:r w:rsidRPr="00966861">
              <w:rPr>
                <w:rFonts w:ascii="Book Antiqua" w:hAnsi="Book Antiqua" w:cs="Book Antiqua"/>
              </w:rPr>
              <w:t>Nincs</w:t>
            </w:r>
          </w:p>
        </w:tc>
      </w:tr>
      <w:tr w:rsidR="00712340" w:rsidRPr="00966861" w:rsidTr="00A72EB4">
        <w:trPr>
          <w:trHeight w:val="521"/>
        </w:trPr>
        <w:tc>
          <w:tcPr>
            <w:tcW w:w="14098" w:type="dxa"/>
            <w:gridSpan w:val="9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A rendelet megalkotása szükséges:</w:t>
            </w:r>
            <w:r w:rsidRPr="00966861">
              <w:rPr>
                <w:rFonts w:ascii="Book Antiqua" w:hAnsi="Book Antiqua" w:cs="Book Antiqua"/>
              </w:rPr>
              <w:t xml:space="preserve"> </w:t>
            </w:r>
            <w:r w:rsidR="00D576D8">
              <w:rPr>
                <w:rFonts w:ascii="Book Antiqua" w:hAnsi="Book Antiqua"/>
              </w:rPr>
              <w:t>védelmi intézkedések következő üteméről szóló 207/2020. (V. 15.) Korm.rendelet</w:t>
            </w:r>
            <w:r w:rsidR="00D576D8">
              <w:rPr>
                <w:rFonts w:ascii="Book Antiqua" w:hAnsi="Book Antiqua"/>
              </w:rPr>
              <w:t xml:space="preserve"> alapján</w:t>
            </w:r>
          </w:p>
        </w:tc>
      </w:tr>
      <w:tr w:rsidR="00712340" w:rsidRPr="00966861" w:rsidTr="00A72EB4">
        <w:trPr>
          <w:trHeight w:val="539"/>
        </w:trPr>
        <w:tc>
          <w:tcPr>
            <w:tcW w:w="14098" w:type="dxa"/>
            <w:gridSpan w:val="9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A rendelet megalkotásának elmaradása esetén várható következmények:</w:t>
            </w:r>
            <w:r w:rsidRPr="00966861">
              <w:rPr>
                <w:rFonts w:ascii="Book Antiqua" w:hAnsi="Book Antiqua" w:cs="Book Antiqua"/>
              </w:rPr>
              <w:t xml:space="preserve"> </w:t>
            </w:r>
            <w:r w:rsidR="00D576D8">
              <w:rPr>
                <w:rFonts w:ascii="Book Antiqua" w:hAnsi="Book Antiqua" w:cs="Book Antiqua"/>
              </w:rPr>
              <w:t>törvényességi észrevétel</w:t>
            </w:r>
          </w:p>
        </w:tc>
      </w:tr>
      <w:tr w:rsidR="00712340" w:rsidRPr="00966861" w:rsidTr="00A72EB4">
        <w:trPr>
          <w:trHeight w:val="431"/>
        </w:trPr>
        <w:tc>
          <w:tcPr>
            <w:tcW w:w="14098" w:type="dxa"/>
            <w:gridSpan w:val="9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A rendelet alkalmazásához szükséges feltételek:</w:t>
            </w:r>
          </w:p>
        </w:tc>
      </w:tr>
      <w:tr w:rsidR="00F677E9" w:rsidRPr="00966861" w:rsidTr="00A72EB4">
        <w:trPr>
          <w:trHeight w:val="404"/>
        </w:trPr>
        <w:tc>
          <w:tcPr>
            <w:tcW w:w="3524" w:type="dxa"/>
            <w:gridSpan w:val="2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Személyi</w:t>
            </w:r>
          </w:p>
        </w:tc>
        <w:tc>
          <w:tcPr>
            <w:tcW w:w="3525" w:type="dxa"/>
            <w:gridSpan w:val="3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Szervezeti</w:t>
            </w:r>
          </w:p>
        </w:tc>
        <w:tc>
          <w:tcPr>
            <w:tcW w:w="3524" w:type="dxa"/>
            <w:gridSpan w:val="2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Tárgyi</w:t>
            </w:r>
          </w:p>
        </w:tc>
        <w:tc>
          <w:tcPr>
            <w:tcW w:w="3525" w:type="dxa"/>
            <w:gridSpan w:val="2"/>
          </w:tcPr>
          <w:p w:rsidR="00712340" w:rsidRPr="00966861" w:rsidRDefault="00712340" w:rsidP="00A72EB4">
            <w:pPr>
              <w:spacing w:after="0" w:line="240" w:lineRule="auto"/>
              <w:rPr>
                <w:rFonts w:ascii="Book Antiqua" w:hAnsi="Book Antiqua" w:cs="Book Antiqua"/>
                <w:b/>
                <w:bCs/>
              </w:rPr>
            </w:pPr>
            <w:r w:rsidRPr="00966861">
              <w:rPr>
                <w:rFonts w:ascii="Book Antiqua" w:hAnsi="Book Antiqua" w:cs="Book Antiqua"/>
                <w:b/>
                <w:bCs/>
              </w:rPr>
              <w:t>Pénzügyi</w:t>
            </w:r>
          </w:p>
        </w:tc>
      </w:tr>
      <w:tr w:rsidR="00F677E9" w:rsidRPr="00966861" w:rsidTr="00A72EB4">
        <w:trPr>
          <w:trHeight w:val="2141"/>
        </w:trPr>
        <w:tc>
          <w:tcPr>
            <w:tcW w:w="3524" w:type="dxa"/>
            <w:gridSpan w:val="2"/>
          </w:tcPr>
          <w:p w:rsidR="00712340" w:rsidRPr="00966861" w:rsidRDefault="00F677E9" w:rsidP="00A72EB4">
            <w:pPr>
              <w:spacing w:after="0" w:line="240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Az ellenőrzéshez szükséges személyi feltételek rendelkezésre állnak.</w:t>
            </w:r>
          </w:p>
        </w:tc>
        <w:tc>
          <w:tcPr>
            <w:tcW w:w="3525" w:type="dxa"/>
            <w:gridSpan w:val="3"/>
          </w:tcPr>
          <w:p w:rsidR="00712340" w:rsidRPr="00966861" w:rsidRDefault="0064466C" w:rsidP="00A72EB4">
            <w:pPr>
              <w:spacing w:after="0" w:line="240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Nem igényel szervezeti átalakítást.</w:t>
            </w:r>
          </w:p>
        </w:tc>
        <w:tc>
          <w:tcPr>
            <w:tcW w:w="3524" w:type="dxa"/>
            <w:gridSpan w:val="2"/>
          </w:tcPr>
          <w:p w:rsidR="00712340" w:rsidRPr="00966861" w:rsidRDefault="0064466C" w:rsidP="00A72EB4">
            <w:pPr>
              <w:spacing w:after="0" w:line="240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>N</w:t>
            </w:r>
            <w:r w:rsidR="00712340" w:rsidRPr="00966861">
              <w:rPr>
                <w:rFonts w:ascii="Book Antiqua" w:hAnsi="Book Antiqua" w:cs="Book Antiqua"/>
              </w:rPr>
              <w:t>em igényel tárgyi erőforrásokat</w:t>
            </w:r>
          </w:p>
        </w:tc>
        <w:tc>
          <w:tcPr>
            <w:tcW w:w="3525" w:type="dxa"/>
            <w:gridSpan w:val="2"/>
          </w:tcPr>
          <w:p w:rsidR="00712340" w:rsidRPr="00966861" w:rsidRDefault="00F677E9" w:rsidP="00A72EB4">
            <w:pPr>
              <w:spacing w:after="0" w:line="240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 xml:space="preserve">Az önkormányzat költségvetésében biztosított. </w:t>
            </w:r>
          </w:p>
        </w:tc>
      </w:tr>
    </w:tbl>
    <w:p w:rsidR="00712340" w:rsidRPr="00966861" w:rsidRDefault="00712340" w:rsidP="00712340">
      <w:pPr>
        <w:spacing w:after="0"/>
        <w:jc w:val="both"/>
        <w:rPr>
          <w:rFonts w:ascii="Book Antiqua" w:hAnsi="Book Antiqua"/>
        </w:rPr>
      </w:pPr>
    </w:p>
    <w:p w:rsidR="00345C16" w:rsidRDefault="00345C16">
      <w:pPr>
        <w:spacing w:after="160" w:line="259" w:lineRule="auto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br w:type="page"/>
      </w:r>
    </w:p>
    <w:p w:rsidR="00345C16" w:rsidRDefault="00345C16" w:rsidP="00345C16">
      <w:pPr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lastRenderedPageBreak/>
        <w:t>INDOKOLÁS</w:t>
      </w:r>
    </w:p>
    <w:p w:rsidR="00345C16" w:rsidRDefault="00421BF7" w:rsidP="00345C16">
      <w:pPr>
        <w:suppressAutoHyphens/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  <w:r>
        <w:rPr>
          <w:rFonts w:ascii="Book Antiqua" w:hAnsi="Book Antiqua"/>
          <w:b/>
        </w:rPr>
        <w:t xml:space="preserve">a </w:t>
      </w:r>
      <w:r w:rsidR="009E60BF" w:rsidRPr="0093438B">
        <w:rPr>
          <w:rFonts w:ascii="Book Antiqua" w:hAnsi="Book Antiqua"/>
          <w:b/>
        </w:rPr>
        <w:t>köztéri játszóterek, valamint az egyéb, közterületen elhelyezett kültéri sporteszközök, valamint bármely szabadidős tevékenység végzésére szolgáló eszközök, berendezések használatának tiltásáról</w:t>
      </w:r>
      <w:r w:rsidR="009E60BF">
        <w:rPr>
          <w:rFonts w:ascii="Book Antiqua" w:eastAsia="Times New Roman" w:hAnsi="Book Antiqua"/>
          <w:b/>
          <w:bCs/>
          <w:lang w:eastAsia="ar-SA"/>
        </w:rPr>
        <w:t xml:space="preserve"> szóló </w:t>
      </w:r>
      <w:r>
        <w:rPr>
          <w:rFonts w:ascii="Book Antiqua" w:hAnsi="Book Antiqua"/>
          <w:b/>
        </w:rPr>
        <w:t>13/2020. (IV. 15.) önkormányzati</w:t>
      </w:r>
      <w:r w:rsidRPr="009B3E67">
        <w:rPr>
          <w:rFonts w:ascii="Book Antiqua" w:hAnsi="Book Antiqua"/>
          <w:b/>
        </w:rPr>
        <w:t xml:space="preserve"> rendelet </w:t>
      </w:r>
      <w:r>
        <w:rPr>
          <w:rFonts w:ascii="Book Antiqua" w:hAnsi="Book Antiqua"/>
          <w:b/>
        </w:rPr>
        <w:t>hatályon kívül helyezéséről</w:t>
      </w:r>
      <w:r>
        <w:rPr>
          <w:rFonts w:ascii="Book Antiqua" w:hAnsi="Book Antiqua"/>
          <w:b/>
        </w:rPr>
        <w:t xml:space="preserve"> szóló </w:t>
      </w:r>
      <w:r w:rsidR="00345C16">
        <w:rPr>
          <w:rFonts w:ascii="Book Antiqua" w:eastAsia="Times New Roman" w:hAnsi="Book Antiqua"/>
          <w:b/>
          <w:lang w:eastAsia="ar-SA"/>
        </w:rPr>
        <w:t>önkormányzati rendelet-tervezethez</w:t>
      </w:r>
    </w:p>
    <w:p w:rsidR="00345C16" w:rsidRDefault="00345C16" w:rsidP="00345C16">
      <w:pPr>
        <w:spacing w:after="0" w:line="240" w:lineRule="auto"/>
        <w:rPr>
          <w:rFonts w:ascii="Book Antiqua" w:eastAsia="Times New Roman" w:hAnsi="Book Antiqua"/>
          <w:b/>
          <w:lang w:eastAsia="ar-SA"/>
        </w:rPr>
      </w:pPr>
    </w:p>
    <w:p w:rsidR="00345C16" w:rsidRDefault="00345C16" w:rsidP="00345C16">
      <w:pPr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t>Általános indokolás</w:t>
      </w:r>
    </w:p>
    <w:p w:rsidR="00345C16" w:rsidRDefault="00345C16" w:rsidP="00345C16">
      <w:pPr>
        <w:spacing w:after="0" w:line="240" w:lineRule="auto"/>
        <w:jc w:val="center"/>
        <w:rPr>
          <w:rFonts w:ascii="Book Antiqua" w:eastAsia="Times New Roman" w:hAnsi="Book Antiqua"/>
          <w:bCs/>
          <w:lang w:eastAsia="ar-SA"/>
        </w:rPr>
      </w:pPr>
    </w:p>
    <w:p w:rsidR="00345C16" w:rsidRDefault="00421BF7" w:rsidP="00345C16">
      <w:pPr>
        <w:overflowPunct w:val="0"/>
        <w:autoSpaceDE w:val="0"/>
        <w:spacing w:after="0" w:line="240" w:lineRule="auto"/>
        <w:jc w:val="both"/>
        <w:textAlignment w:val="baseline"/>
        <w:rPr>
          <w:rFonts w:ascii="Book Antiqua" w:hAnsi="Book Antiqua"/>
        </w:rPr>
      </w:pPr>
      <w:r>
        <w:rPr>
          <w:rFonts w:ascii="Book Antiqua" w:hAnsi="Book Antiqua"/>
        </w:rPr>
        <w:t>A védelmi intézkedések következő üteméről szóló 207/2020. (V. 15.) Korm.rendelet 3. §-a szerint a szabadtéren lévő játszótér nyitva tarthat és látogatható, így indokolttá vált a 13/2020. (IV. 15.) önkormányzati rendelet hatályon kívül helyezése.</w:t>
      </w:r>
    </w:p>
    <w:p w:rsidR="00421BF7" w:rsidRDefault="00421BF7" w:rsidP="00345C16">
      <w:pPr>
        <w:overflowPunct w:val="0"/>
        <w:autoSpaceDE w:val="0"/>
        <w:spacing w:after="0" w:line="240" w:lineRule="auto"/>
        <w:jc w:val="both"/>
        <w:textAlignment w:val="baseline"/>
        <w:rPr>
          <w:rFonts w:ascii="Book Antiqua" w:eastAsia="Times New Roman" w:hAnsi="Book Antiqua"/>
          <w:lang w:eastAsia="ar-SA"/>
        </w:rPr>
      </w:pPr>
    </w:p>
    <w:p w:rsidR="00345C16" w:rsidRDefault="00345C16" w:rsidP="00345C16">
      <w:pPr>
        <w:spacing w:after="0" w:line="240" w:lineRule="auto"/>
        <w:jc w:val="center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t>Részletes indokolás</w:t>
      </w:r>
    </w:p>
    <w:p w:rsidR="00345C16" w:rsidRDefault="00345C16" w:rsidP="00345C16">
      <w:pPr>
        <w:spacing w:after="0" w:line="240" w:lineRule="auto"/>
        <w:rPr>
          <w:rFonts w:ascii="Book Antiqua" w:eastAsia="Times New Roman" w:hAnsi="Book Antiqua"/>
          <w:b/>
          <w:lang w:eastAsia="ar-SA"/>
        </w:rPr>
      </w:pPr>
    </w:p>
    <w:p w:rsidR="00345C16" w:rsidRDefault="00345C16" w:rsidP="00345C16">
      <w:pPr>
        <w:spacing w:after="0" w:line="240" w:lineRule="auto"/>
        <w:rPr>
          <w:rFonts w:ascii="Book Antiqua" w:eastAsia="Times New Roman" w:hAnsi="Book Antiqua"/>
          <w:b/>
          <w:lang w:eastAsia="ar-SA"/>
        </w:rPr>
      </w:pPr>
      <w:r>
        <w:rPr>
          <w:rFonts w:ascii="Book Antiqua" w:eastAsia="Times New Roman" w:hAnsi="Book Antiqua"/>
          <w:b/>
          <w:lang w:eastAsia="ar-SA"/>
        </w:rPr>
        <w:t xml:space="preserve">1. §-hoz </w:t>
      </w:r>
    </w:p>
    <w:p w:rsidR="00C6608A" w:rsidRPr="009E60BF" w:rsidRDefault="009E60BF" w:rsidP="009E60BF">
      <w:pPr>
        <w:spacing w:after="0" w:line="240" w:lineRule="auto"/>
        <w:jc w:val="both"/>
        <w:rPr>
          <w:rFonts w:ascii="Book Antiqua" w:eastAsia="Times New Roman" w:hAnsi="Book Antiqua"/>
          <w:b/>
          <w:lang w:eastAsia="ar-SA"/>
        </w:rPr>
      </w:pPr>
      <w:r w:rsidRPr="009E60BF">
        <w:rPr>
          <w:rFonts w:ascii="Book Antiqua" w:hAnsi="Book Antiqua"/>
          <w:bCs/>
        </w:rPr>
        <w:t xml:space="preserve">A </w:t>
      </w:r>
      <w:r w:rsidR="00421BF7">
        <w:rPr>
          <w:rFonts w:ascii="Book Antiqua" w:hAnsi="Book Antiqua"/>
          <w:bCs/>
        </w:rPr>
        <w:t>hatályon kívül helyezésre vonatkozó rendelkezés.</w:t>
      </w:r>
    </w:p>
    <w:p w:rsidR="00345C16" w:rsidRDefault="00345C16" w:rsidP="00345C16">
      <w:pPr>
        <w:spacing w:after="0" w:line="240" w:lineRule="auto"/>
        <w:rPr>
          <w:rFonts w:ascii="Book Antiqua" w:eastAsia="Times New Roman" w:hAnsi="Book Antiqua"/>
          <w:lang w:eastAsia="ar-SA"/>
        </w:rPr>
      </w:pPr>
    </w:p>
    <w:p w:rsidR="009E60BF" w:rsidRPr="009E60BF" w:rsidRDefault="009E60BF" w:rsidP="00345C16">
      <w:pPr>
        <w:spacing w:after="0" w:line="240" w:lineRule="auto"/>
        <w:rPr>
          <w:rFonts w:ascii="Book Antiqua" w:eastAsia="Times New Roman" w:hAnsi="Book Antiqua"/>
          <w:b/>
          <w:bCs/>
          <w:lang w:eastAsia="ar-SA"/>
        </w:rPr>
      </w:pPr>
      <w:r w:rsidRPr="009E60BF">
        <w:rPr>
          <w:rFonts w:ascii="Book Antiqua" w:eastAsia="Times New Roman" w:hAnsi="Book Antiqua"/>
          <w:b/>
          <w:bCs/>
          <w:lang w:eastAsia="ar-SA"/>
        </w:rPr>
        <w:t>2.§-hoz</w:t>
      </w:r>
    </w:p>
    <w:p w:rsidR="00345C16" w:rsidRDefault="00345C16" w:rsidP="00345C16">
      <w:pPr>
        <w:spacing w:after="0" w:line="240" w:lineRule="auto"/>
        <w:rPr>
          <w:rFonts w:ascii="Book Antiqua" w:eastAsia="Times New Roman" w:hAnsi="Book Antiqua"/>
          <w:lang w:eastAsia="ar-SA"/>
        </w:rPr>
      </w:pPr>
      <w:r>
        <w:rPr>
          <w:rFonts w:ascii="Book Antiqua" w:eastAsia="Times New Roman" w:hAnsi="Book Antiqua"/>
          <w:lang w:eastAsia="ar-SA"/>
        </w:rPr>
        <w:t xml:space="preserve">A hatályba léptető rendelkezést tartalmazza. </w:t>
      </w:r>
    </w:p>
    <w:sectPr w:rsidR="00345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340"/>
    <w:rsid w:val="000640F2"/>
    <w:rsid w:val="000E5A9E"/>
    <w:rsid w:val="00164086"/>
    <w:rsid w:val="00345C16"/>
    <w:rsid w:val="003B0CEA"/>
    <w:rsid w:val="00421BF7"/>
    <w:rsid w:val="0064466C"/>
    <w:rsid w:val="00683598"/>
    <w:rsid w:val="00712340"/>
    <w:rsid w:val="007E4F50"/>
    <w:rsid w:val="009E60BF"/>
    <w:rsid w:val="00A22D9D"/>
    <w:rsid w:val="00C6608A"/>
    <w:rsid w:val="00CA022E"/>
    <w:rsid w:val="00CA66AF"/>
    <w:rsid w:val="00D576D8"/>
    <w:rsid w:val="00D65D4A"/>
    <w:rsid w:val="00F30853"/>
    <w:rsid w:val="00F6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B9F6"/>
  <w15:chartTrackingRefBased/>
  <w15:docId w15:val="{0D975A11-94C2-40BC-9F05-EA17E35D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2D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12340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71234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A0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022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14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Szücsné Dr. Lancz Anita</dc:creator>
  <cp:keywords/>
  <dc:description/>
  <cp:lastModifiedBy>Dr. Gábor Hajnalka</cp:lastModifiedBy>
  <cp:revision>4</cp:revision>
  <cp:lastPrinted>2020-04-20T08:52:00Z</cp:lastPrinted>
  <dcterms:created xsi:type="dcterms:W3CDTF">2020-05-05T03:04:00Z</dcterms:created>
  <dcterms:modified xsi:type="dcterms:W3CDTF">2020-05-19T07:41:00Z</dcterms:modified>
</cp:coreProperties>
</file>