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49F12" w14:textId="53DDF405" w:rsidR="009E517C" w:rsidRPr="009E517C" w:rsidRDefault="009E517C" w:rsidP="009E517C">
      <w:pPr>
        <w:jc w:val="center"/>
        <w:rPr>
          <w:b/>
          <w:bCs/>
        </w:rPr>
      </w:pPr>
      <w:r>
        <w:rPr>
          <w:b/>
          <w:bCs/>
        </w:rPr>
        <w:t>Általános i</w:t>
      </w:r>
      <w:r w:rsidRPr="009E517C">
        <w:rPr>
          <w:b/>
          <w:bCs/>
        </w:rPr>
        <w:t>ndok</w:t>
      </w:r>
      <w:r w:rsidR="00485ABF">
        <w:rPr>
          <w:b/>
          <w:bCs/>
        </w:rPr>
        <w:t>o</w:t>
      </w:r>
      <w:r w:rsidRPr="009E517C">
        <w:rPr>
          <w:b/>
          <w:bCs/>
        </w:rPr>
        <w:t>lás</w:t>
      </w:r>
    </w:p>
    <w:p w14:paraId="72403AAD" w14:textId="3872299E" w:rsidR="009E517C" w:rsidRDefault="009E517C" w:rsidP="009E517C">
      <w:pPr>
        <w:spacing w:after="0" w:line="360" w:lineRule="auto"/>
        <w:jc w:val="both"/>
      </w:pPr>
      <w:r>
        <w:t>A jogalkotásról szóló 2010. évi CXXX. törvény 18. §-ában foglaltak szerint Harta Nagyközség Önkormányzat 2020. évi költségvetésének IV. módosítását szabályozó önkormányzati rendeletet az alábbiak szerint indokolom:</w:t>
      </w:r>
    </w:p>
    <w:p w14:paraId="237B34AA" w14:textId="0EB374C8" w:rsidR="009E517C" w:rsidRDefault="009E517C" w:rsidP="009E517C">
      <w:pPr>
        <w:spacing w:after="0" w:line="360" w:lineRule="auto"/>
        <w:jc w:val="both"/>
      </w:pPr>
      <w:r>
        <w:t>Az Államháztartásról szóló 2011. évi CXCV. törvény (a továbbiakban: Áht.) felhatalmazása</w:t>
      </w:r>
    </w:p>
    <w:p w14:paraId="48A0161B" w14:textId="77777777" w:rsidR="009E517C" w:rsidRDefault="009E517C" w:rsidP="009E517C">
      <w:pPr>
        <w:spacing w:after="0" w:line="360" w:lineRule="auto"/>
        <w:jc w:val="both"/>
      </w:pPr>
      <w:r>
        <w:t>alapján szükséges a költségvetési rendeletben az előirányzatok év közbeni módosítása.</w:t>
      </w:r>
    </w:p>
    <w:p w14:paraId="407CD410" w14:textId="04E739B0" w:rsidR="009E517C" w:rsidRPr="009E517C" w:rsidRDefault="009E517C" w:rsidP="009E517C">
      <w:pPr>
        <w:jc w:val="center"/>
        <w:rPr>
          <w:b/>
          <w:bCs/>
        </w:rPr>
      </w:pPr>
      <w:r w:rsidRPr="009E517C">
        <w:rPr>
          <w:b/>
          <w:bCs/>
        </w:rPr>
        <w:t>Részletes indok</w:t>
      </w:r>
      <w:r w:rsidR="00485ABF">
        <w:rPr>
          <w:b/>
          <w:bCs/>
        </w:rPr>
        <w:t>o</w:t>
      </w:r>
      <w:r w:rsidRPr="009E517C">
        <w:rPr>
          <w:b/>
          <w:bCs/>
        </w:rPr>
        <w:t>lás</w:t>
      </w:r>
    </w:p>
    <w:p w14:paraId="0FE043E1" w14:textId="1593E317" w:rsidR="009E517C" w:rsidRDefault="009E517C" w:rsidP="009E517C">
      <w:pPr>
        <w:jc w:val="both"/>
      </w:pPr>
      <w:r>
        <w:t>Az Áht. szabályozza az előirányzatok módosítását, átcsoportosítását az</w:t>
      </w:r>
    </w:p>
    <w:p w14:paraId="2998CEF4" w14:textId="77777777" w:rsidR="009E517C" w:rsidRDefault="009E517C" w:rsidP="009E517C">
      <w:pPr>
        <w:jc w:val="both"/>
      </w:pPr>
      <w:r>
        <w:t>államháztartás önkormányzati alrendszerében.</w:t>
      </w:r>
    </w:p>
    <w:p w14:paraId="52FFA52A" w14:textId="7F5F426C" w:rsidR="009E517C" w:rsidRDefault="009E517C" w:rsidP="009E517C">
      <w:pPr>
        <w:jc w:val="both"/>
      </w:pPr>
      <w:r>
        <w:t>„34. §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4CE3F98B" w14:textId="04842A44" w:rsidR="009E517C" w:rsidRDefault="009E517C" w:rsidP="009E517C">
      <w:pPr>
        <w:jc w:val="both"/>
      </w:pPr>
      <w:r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14:paraId="6D1F9357" w14:textId="623CA530" w:rsidR="009E517C" w:rsidRDefault="009E517C" w:rsidP="009E517C">
      <w:pPr>
        <w:jc w:val="both"/>
      </w:pPr>
      <w:r>
        <w:t>(3)  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</w:t>
      </w:r>
    </w:p>
    <w:p w14:paraId="78DBA2E1" w14:textId="4B9A05CB" w:rsidR="009E517C" w:rsidRDefault="009E517C" w:rsidP="009E517C">
      <w:pPr>
        <w:jc w:val="both"/>
      </w:pPr>
      <w:r>
        <w:t>(4)  A 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Ha év közben az Országgyűlés - a helyi önkormányzatot érintő módon -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453E74A8" w14:textId="552509C3" w:rsidR="009E517C" w:rsidRDefault="009E517C" w:rsidP="009E517C">
      <w:pPr>
        <w:jc w:val="both"/>
      </w:pPr>
      <w:r>
        <w:t>(5) A nemzetiségi önkormányzat, a társulás, a térségi fejlesztési tanács, valamint az általuk irányított költségvetési szervek bevételi előirányzatainak és kiadási előirányzatainak módosítására, átcsoportosítására az (1)-(4) bekezdést kell alkalmazni, azzal hogy a képviselő-testület hatáskörét a nemzetiségi önkormányzat testülete, közgyűlése, a társulási tanács, illetve a térségi fejlesztési tanács tagjai gyakorolják, polgármesteren a nemzetiségi önkormányzat elnökét, a társulási tanács elnökét, illetve a térségi fejlesztési tanács elnökét kell érteni.”</w:t>
      </w:r>
    </w:p>
    <w:p w14:paraId="3FB4C938" w14:textId="4F164621" w:rsidR="009E517C" w:rsidRDefault="009E517C" w:rsidP="009E517C">
      <w:pPr>
        <w:jc w:val="both"/>
      </w:pPr>
      <w:r>
        <w:t>A 2020. évi eredeti költségvetés módosítása szükségessé vált a költségvetés jóváhagyása óta</w:t>
      </w:r>
    </w:p>
    <w:p w14:paraId="376130A4" w14:textId="248D3FF9" w:rsidR="009E517C" w:rsidRDefault="009E517C" w:rsidP="009E517C">
      <w:pPr>
        <w:jc w:val="both"/>
      </w:pPr>
      <w:r>
        <w:t>ismertté vált gazdasági események költségvetésbe történő beépítése érdekében.</w:t>
      </w:r>
    </w:p>
    <w:p w14:paraId="2693C345" w14:textId="635CC252" w:rsidR="009E517C" w:rsidRDefault="009E517C" w:rsidP="009E517C">
      <w:pPr>
        <w:jc w:val="both"/>
      </w:pPr>
      <w:r>
        <w:t>Az 1-2. § bekezdéseihez:</w:t>
      </w:r>
    </w:p>
    <w:p w14:paraId="0DB6F0AE" w14:textId="77777777" w:rsidR="009E517C" w:rsidRDefault="009E517C" w:rsidP="009E517C">
      <w:pPr>
        <w:jc w:val="both"/>
      </w:pPr>
      <w:r>
        <w:t>Ezek tartalmazzák a helyi önkormányzat bevételi és kiadási előirányzatai módosításait.</w:t>
      </w:r>
    </w:p>
    <w:p w14:paraId="53635A25" w14:textId="6D27C868" w:rsidR="00BD162A" w:rsidRDefault="009E517C" w:rsidP="009E517C">
      <w:pPr>
        <w:jc w:val="both"/>
      </w:pPr>
      <w:r>
        <w:t>A 3. § a rendelet hatályba lépését szabályozza.</w:t>
      </w:r>
    </w:p>
    <w:sectPr w:rsidR="00BD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7C"/>
    <w:rsid w:val="00485ABF"/>
    <w:rsid w:val="007F6E56"/>
    <w:rsid w:val="009E517C"/>
    <w:rsid w:val="00B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88FE"/>
  <w15:chartTrackingRefBased/>
  <w15:docId w15:val="{EE905BD8-6110-4F03-ABF8-B56045D8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6E56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Kósáné Viszlai</dc:creator>
  <cp:keywords/>
  <dc:description/>
  <cp:lastModifiedBy>Boglárka Kósáné Viszlai</cp:lastModifiedBy>
  <cp:revision>2</cp:revision>
  <dcterms:created xsi:type="dcterms:W3CDTF">2021-02-13T16:40:00Z</dcterms:created>
  <dcterms:modified xsi:type="dcterms:W3CDTF">2021-02-15T07:32:00Z</dcterms:modified>
</cp:coreProperties>
</file>