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25" w:rsidRPr="00415C53" w:rsidRDefault="00BC4525" w:rsidP="00BC4525">
      <w:pPr>
        <w:spacing w:before="240" w:after="120"/>
        <w:jc w:val="center"/>
        <w:rPr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Tompa Város Önkormányzata 2020. évi költségvetéséről szóló rendelet- tervezet</w:t>
      </w:r>
    </w:p>
    <w:p w:rsidR="00BC4525" w:rsidRPr="00415C53" w:rsidRDefault="00BC4525" w:rsidP="00BC4525">
      <w:pPr>
        <w:spacing w:before="120"/>
        <w:jc w:val="center"/>
        <w:rPr>
          <w:b/>
          <w:sz w:val="24"/>
          <w:szCs w:val="24"/>
        </w:rPr>
      </w:pPr>
      <w:proofErr w:type="gramStart"/>
      <w:r w:rsidRPr="00415C53">
        <w:rPr>
          <w:b/>
          <w:sz w:val="24"/>
          <w:szCs w:val="24"/>
        </w:rPr>
        <w:t>szöveges</w:t>
      </w:r>
      <w:proofErr w:type="gramEnd"/>
      <w:r w:rsidRPr="00415C53">
        <w:rPr>
          <w:b/>
          <w:sz w:val="24"/>
          <w:szCs w:val="24"/>
        </w:rPr>
        <w:t xml:space="preserve"> indokolása</w:t>
      </w:r>
    </w:p>
    <w:p w:rsidR="00BC4525" w:rsidRPr="00415C53" w:rsidRDefault="00BC4525" w:rsidP="00BC4525">
      <w:pPr>
        <w:jc w:val="center"/>
        <w:rPr>
          <w:i/>
          <w:sz w:val="24"/>
          <w:szCs w:val="24"/>
        </w:rPr>
      </w:pPr>
    </w:p>
    <w:p w:rsidR="00BC4525" w:rsidRPr="00415C53" w:rsidRDefault="00BC4525" w:rsidP="00BC4525">
      <w:pPr>
        <w:jc w:val="center"/>
        <w:rPr>
          <w:i/>
          <w:sz w:val="24"/>
          <w:szCs w:val="24"/>
        </w:rPr>
      </w:pPr>
      <w:r w:rsidRPr="00415C53">
        <w:rPr>
          <w:i/>
          <w:sz w:val="24"/>
          <w:szCs w:val="24"/>
        </w:rPr>
        <w:t>(a Képviselő-testület 2020.03.12-i ülésére)</w:t>
      </w:r>
    </w:p>
    <w:p w:rsidR="00C72E5F" w:rsidRPr="00415C53" w:rsidRDefault="00C72E5F" w:rsidP="00C72E5F">
      <w:pPr>
        <w:spacing w:before="480" w:after="240"/>
        <w:jc w:val="center"/>
        <w:rPr>
          <w:b/>
          <w:i/>
          <w:color w:val="0D0D0D"/>
          <w:sz w:val="24"/>
          <w:szCs w:val="24"/>
        </w:rPr>
      </w:pPr>
      <w:r w:rsidRPr="00415C53">
        <w:rPr>
          <w:b/>
          <w:i/>
          <w:color w:val="0D0D0D"/>
          <w:sz w:val="24"/>
          <w:szCs w:val="24"/>
        </w:rPr>
        <w:t>ÁLTALÁNOS INDOKOLÁS</w:t>
      </w:r>
    </w:p>
    <w:p w:rsidR="00C72E5F" w:rsidRPr="00415C53" w:rsidRDefault="00C72E5F" w:rsidP="00C72E5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 jogalkotásról szóló 2010. évi CXXX. törvény 18.§</w:t>
      </w:r>
      <w:proofErr w:type="spellStart"/>
      <w:r w:rsidRPr="00415C53">
        <w:rPr>
          <w:sz w:val="24"/>
          <w:szCs w:val="24"/>
        </w:rPr>
        <w:t>-a</w:t>
      </w:r>
      <w:proofErr w:type="spellEnd"/>
      <w:r w:rsidRPr="00415C53">
        <w:rPr>
          <w:sz w:val="24"/>
          <w:szCs w:val="24"/>
        </w:rPr>
        <w:t xml:space="preserve"> szerint a jogszabály tervezetéhez a jogszabály előkészítője indokolást csatol, amelyben bemutatja azokat a társadalmi, gazdasági, szakmai okokat és célokat, amelyek a javasolt szabályozást szükségessé teszik, továbbá ismerteti a jogi szabályozás várható hatásait.</w:t>
      </w:r>
    </w:p>
    <w:p w:rsidR="00415C53" w:rsidRPr="00415C53" w:rsidRDefault="00415C53" w:rsidP="00415C53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21.§</w:t>
      </w:r>
      <w:proofErr w:type="spellStart"/>
      <w:r w:rsidRPr="00415C53">
        <w:rPr>
          <w:sz w:val="24"/>
          <w:szCs w:val="24"/>
        </w:rPr>
        <w:t>-</w:t>
      </w:r>
      <w:proofErr w:type="gramStart"/>
      <w:r w:rsidRPr="00415C53">
        <w:rPr>
          <w:sz w:val="24"/>
          <w:szCs w:val="24"/>
        </w:rPr>
        <w:t>a</w:t>
      </w:r>
      <w:proofErr w:type="spellEnd"/>
      <w:proofErr w:type="gramEnd"/>
      <w:r w:rsidRPr="00415C53">
        <w:rPr>
          <w:sz w:val="24"/>
          <w:szCs w:val="24"/>
        </w:rPr>
        <w:t xml:space="preserve"> alapján a rendelet indokoló részének közzététele nem kötelező amennyiben a rendelet tervezet társadalmi, gazdasági, költségvetési hatása, környezeti és egészségi következménye, adminisztratív terheket befolyásoló hatása nem kimutatható.</w:t>
      </w:r>
    </w:p>
    <w:p w:rsidR="00415C53" w:rsidRDefault="00415C53" w:rsidP="00415C53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Mivel a rendelet </w:t>
      </w:r>
      <w:r w:rsidR="007A4168">
        <w:rPr>
          <w:sz w:val="24"/>
          <w:szCs w:val="24"/>
        </w:rPr>
        <w:t>megalkotásának</w:t>
      </w:r>
      <w:bookmarkStart w:id="0" w:name="_GoBack"/>
      <w:bookmarkEnd w:id="0"/>
      <w:r w:rsidRPr="00415C53">
        <w:rPr>
          <w:sz w:val="24"/>
          <w:szCs w:val="24"/>
        </w:rPr>
        <w:t xml:space="preserve"> a társadalmi, gazdasági, költségvetési hatása van, ezért az indokoló részt közzé kell tenni.</w:t>
      </w:r>
    </w:p>
    <w:p w:rsidR="00C72E5F" w:rsidRPr="00415C53" w:rsidRDefault="00C72E5F" w:rsidP="00C72E5F">
      <w:p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 jogszabály tervezetének indokolásában tájékoztatást kell adni a javasolt szabályozás és az európai uniós jogból eredő kötelezettségek összhangjáról, valamint a 20. § szerinti egyeztetési kötelezettségről.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Az államháztartásról szóló 2011. évi CXCV. törvény (továbbiakban Áht.) előírásai alapján megalkotásra került Tompa Város Önkormányzatának 2020</w:t>
      </w:r>
      <w:r w:rsidR="00131825">
        <w:rPr>
          <w:sz w:val="24"/>
          <w:szCs w:val="24"/>
        </w:rPr>
        <w:t>.</w:t>
      </w:r>
      <w:r w:rsidRPr="00415C53">
        <w:rPr>
          <w:sz w:val="24"/>
          <w:szCs w:val="24"/>
        </w:rPr>
        <w:t xml:space="preserve"> évre vonatkozó költségvetés tervezete.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15C53">
        <w:rPr>
          <w:b/>
          <w:sz w:val="24"/>
          <w:szCs w:val="24"/>
        </w:rPr>
        <w:t>Az államháztartásról szóló CXCV. törvény értelmében:</w:t>
      </w:r>
      <w:r w:rsidRPr="00415C53">
        <w:rPr>
          <w:sz w:val="24"/>
          <w:szCs w:val="24"/>
        </w:rPr>
        <w:t xml:space="preserve">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Az Önkormányzat a költségvetését költségvetési rendeletben állapítja meg, amely elősegíti a jelenlegi pénzügyi helyzetről a valós kép kialakítását és meghatározza az éves gazdálkodási lehetőségeket. A költségvetés végrehajtása során elsőbbséget élvez az önkormányzat működőképességének, ezen belül az intézmények működési kiadásainak, az önkormányzat kötelező feladatainak ellátáshoz szükséges források, valamint a korábbi képviselő-testületi döntésekből származó kötelezettségvállalások biztosítása.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 jegyző által előkészített költségvetési rendelet-tervezetet a polgármester február 15-éig, nyújtja be a képviselő-testületnek.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Ennek elmaradása mulasztásban megnyilvánuló jogszabálysértést von maga után, mely esetben Magyarország helyi önkormányzatairól szóló 2011. évi CLXXXIX. Törvény 132. § (1) bekezdés a) pontja alapján a Kormányhivatal törvényességi felhívással élhet.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 helyi önkormányzat bevételeivel és kiadásaival kapcsolatban a tervezési, gazdálkodási, ellenőrzési, finanszírozási, adatszolgáltatási és beszámolási feladatok ellátásáról az önkormányzati hivatal gondoskodik.”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lastRenderedPageBreak/>
        <w:t>Áht. 83. § (6) Ha a helyi önkormányzat a Mötv. 111/A. §</w:t>
      </w:r>
      <w:proofErr w:type="spellStart"/>
      <w:r w:rsidRPr="00415C53">
        <w:rPr>
          <w:sz w:val="24"/>
          <w:szCs w:val="24"/>
        </w:rPr>
        <w:t>-a</w:t>
      </w:r>
      <w:proofErr w:type="spellEnd"/>
      <w:r w:rsidRPr="00415C53">
        <w:rPr>
          <w:sz w:val="24"/>
          <w:szCs w:val="24"/>
        </w:rPr>
        <w:t xml:space="preserve"> szerinti valamely kötelezettségének nem tesz eleget, a helyi önkormányzatokért felelős miniszter a kötelezettség teljesítésére meghatározott határidő utolsó napját követő hónap első napjától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proofErr w:type="gramStart"/>
      <w:r w:rsidRPr="00415C53">
        <w:rPr>
          <w:sz w:val="24"/>
          <w:szCs w:val="24"/>
        </w:rPr>
        <w:t>a</w:t>
      </w:r>
      <w:proofErr w:type="gramEnd"/>
      <w:r w:rsidRPr="00415C53">
        <w:rPr>
          <w:sz w:val="24"/>
          <w:szCs w:val="24"/>
        </w:rPr>
        <w:t xml:space="preserve"> mulasztás megszüntetéséig a nettó finanszírozás alapján a helyi önkormányzatot megillető támogatás folyósítását felfüggeszti. E rendelkezést kell alkalmazni a nemzetiségi önkormányzat </w:t>
      </w:r>
      <w:proofErr w:type="spellStart"/>
      <w:r w:rsidRPr="00415C53">
        <w:rPr>
          <w:sz w:val="24"/>
          <w:szCs w:val="24"/>
        </w:rPr>
        <w:t>Njt</w:t>
      </w:r>
      <w:proofErr w:type="spellEnd"/>
      <w:r w:rsidRPr="00415C53">
        <w:rPr>
          <w:sz w:val="24"/>
          <w:szCs w:val="24"/>
        </w:rPr>
        <w:t>. 134. §</w:t>
      </w:r>
      <w:proofErr w:type="spellStart"/>
      <w:r w:rsidRPr="00415C53">
        <w:rPr>
          <w:sz w:val="24"/>
          <w:szCs w:val="24"/>
        </w:rPr>
        <w:t>-a</w:t>
      </w:r>
      <w:proofErr w:type="spellEnd"/>
      <w:r w:rsidRPr="00415C53">
        <w:rPr>
          <w:sz w:val="24"/>
          <w:szCs w:val="24"/>
        </w:rPr>
        <w:t xml:space="preserve"> szerinti valamely kötelezettségének elmulasztására is, azzal, hogy a nemzetiségi önkormányzatot megillető támogatás folyósításának felfüggesztésére a nemzetiségpolitikáért felelős miniszter jogosult.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 költségvetési tervet a képviselő-testületi tárgyalás előtt a Pénzügyi Bizottság véleményezte.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spacing w:before="360" w:after="160"/>
        <w:jc w:val="center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RÉSZLETES INDOKLÁS</w:t>
      </w:r>
    </w:p>
    <w:p w:rsidR="00C72E5F" w:rsidRPr="00415C53" w:rsidRDefault="00C72E5F" w:rsidP="00C72E5F">
      <w:pPr>
        <w:spacing w:before="240" w:after="240"/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I.</w:t>
      </w:r>
    </w:p>
    <w:p w:rsidR="00C72E5F" w:rsidRPr="00415C53" w:rsidRDefault="00C72E5F" w:rsidP="00C72E5F">
      <w:pPr>
        <w:spacing w:after="120"/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 xml:space="preserve">Az Önkormányzat költségvetési politikájának fő vonásai </w:t>
      </w:r>
      <w:r w:rsidRPr="00415C53">
        <w:rPr>
          <w:b/>
          <w:color w:val="0D0D0D"/>
          <w:sz w:val="24"/>
          <w:szCs w:val="24"/>
        </w:rPr>
        <w:br/>
        <w:t>2020. évben</w:t>
      </w:r>
    </w:p>
    <w:p w:rsidR="00C72E5F" w:rsidRPr="00415C53" w:rsidRDefault="00C72E5F" w:rsidP="00C72E5F">
      <w:pPr>
        <w:spacing w:after="120"/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Tompa Város Önkormányzatának 2020. évi költségvetésének tervezése során az első alapelv a kötelező feladatok teljesítése, valamint az intézmények működésének biztosítása.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Másik alapelv, hogy az előző években vállalt kötelezettségeit az önkormányzat maradéktalanul finanszírozni tudja. 2020-ban is törekszünk a lakosság igényeinek megfelelően a városfejlesztésre és az Európai Uniós pályázatokon történő eredményes részvételre, valamint a lakosság minél nagyobb arányban történő támogatására. </w:t>
      </w:r>
    </w:p>
    <w:p w:rsidR="00C72E5F" w:rsidRPr="00415C53" w:rsidRDefault="00C72E5F" w:rsidP="00C72E5F">
      <w:pPr>
        <w:spacing w:after="120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rPr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II.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A költségvetés-politika céljai és keretei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Az Önkormányzat által működtetett intézmények biztonságos finanszírozása mellett folyamatosan meg kell követelni a takarékos gazdálkodást és a 2020. évi költségvetést úgy szükséges alakítani, hogy a feladatellátások legyenek a kiadások generáló tényezői, és ne az eddigi teljesített összegek. Alapvető szempont, hogy az Önkormányzat költségvetési szerveinek zavartalan működését, a takarékosság maximális figyelembevételével biztosítsa.</w:t>
      </w:r>
    </w:p>
    <w:p w:rsidR="00C72E5F" w:rsidRPr="00415C53" w:rsidRDefault="00C72E5F" w:rsidP="00C72E5F">
      <w:pPr>
        <w:jc w:val="both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III.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 xml:space="preserve">A Kormány által benyújtott költségvetési törvényjavaslatban meghatározott források, az igénybevétel feltételei, jogszabályi keretei 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 helyi önkormányzatok működésének általános támogatása Az önkormányzatok feladatainak nagyobb részét a klasszikus értelemben vett önkormányzati feladatok (igazgatási feladatok, településüzemeltetés, helyi adóztatás stb.) teszik ki. Ezen helyi közügyek ellátását 2020-ban is, hasonlóan az előző évhez egy - az önkormányzatok jövedelemtermelő képességétől függő - általános jellegű támogatás szolgálja.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lastRenderedPageBreak/>
        <w:t xml:space="preserve">Az általános támogatáson belül külön jelenik meg az önkormányzati hivatal támogatása, a legtipikusabb településüzemeltetési feladatok, illetve az egyéb kötelező önkormányzati feladatok támogatása.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Az önkormányzatok finanszírozási rendszerében mindig jelen volt egyfajta „kiegyenlítő” rendszer. Ezt a funkciót tölti be a 2013. évtől a beszámítás rendszere, amely a helyi önkormányzatok iparűzési adóalaphoz viszonyított elvárt bevételével csökkenti az általános támogatásokat.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Az elvárt bevétel miatti csökkentést a költségvetési törvényben rögzített sorrendben kell érvényesíteni a vonatkozó támogatási jogcímek tekintetében, így elsődlegesen: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Hozzájárulás a pénzbeli szociális ellátásokhoz, majd Egyéb önkormányzati feladatok támogatása,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Településüzemeltetéshez kapcsolódó feladatok támogatása, és végül az Önkormányzati hivatal működésének támogatása jogcímeken.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Köznevelés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 nemzeti köznevelésről szóló 2011. évi CXC. törvényben kialakított és meghatározott feladat-ellátási struktúra alapján a 2020. évben is az önkormányzatok kötelezőfeladata az óvodai ellátás biztosítása. A nevelő munkához szükséges támogatást a központi költségvetés úgy bocsátja az önkormányzatok rendelkezésére, hogy az itt dolgozó – a vonatkozó jogszabályok feladatszervezési (csoport átlag létszám, foglalkozási időkeret, gyermekkel töltendő kötött idő) előírásai szerint elismert – pedagógus és a nevelő munkát segítő létszám bérét a kereseteket meghatározó törvényi szabályozás kötelező szintjén biztosítja, továbbá hozzájárul az óvoda szakmai és üzemeltetési kiadásaihoz.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 bértámogatás tekintetében a költségvetés a jogszabályi előírások alkalmazásával részben biztosítja az óvodapedagógusok illetményét, igazodva az Országgyűlés által elfogadott, a 2013. év szeptemberétől bevezetésre került pedagógusi életpálya előmeneteli rendszer többletköltségeihez.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Az óvodaműködtetés költségeinek ellentételezésére szolgáló forrás a 2020. évben is az ellátott gyermekek létszáma alapján illeti meg a fenntartó önkormányzatokat. 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Szociális és gyermekjóléti ellátás</w:t>
      </w: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TELEPÜLÉSI TÁMOGATÁS 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Az Önkormányzati Bizottság a szociálisan rászorult személyt, gyermeket gondozó családot – figyelemmel az Szt. 45. § (1) bekezdésében foglaltakra – települési támogatásban részesítheti, ha család időszakosan létfenntartási gondokkal küzd, és létfenntartást veszélyeztető rendkívüli élethelyzetbe került, gyermek nevelésének elősegítésére a gyermeket, gyermekeket nevelő családban, gyermek vagy fiatal felnőtt rászorultsága esetén temetési költségekhez való hozzájárulásként. A polgármester rendkívüli települési támogatást állapíthat meg a létfenntartást veszélyeztető, rendkívüli élethelyzetbe került azon személyek vagy családok részére (különösen elemi kár, baleset, betegség, gyógyszerkiváltás esetén), akiknek azonnali segítségre van szüksége a rendkívüli esetre tekintettel. </w:t>
      </w:r>
    </w:p>
    <w:p w:rsidR="00C72E5F" w:rsidRPr="00415C53" w:rsidRDefault="00C72E5F" w:rsidP="00C72E5F">
      <w:pPr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pStyle w:val="lfej"/>
        <w:tabs>
          <w:tab w:val="clear" w:pos="4536"/>
          <w:tab w:val="clear" w:pos="9072"/>
        </w:tabs>
        <w:rPr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IV.</w:t>
      </w:r>
    </w:p>
    <w:p w:rsidR="00C72E5F" w:rsidRPr="00415C53" w:rsidRDefault="00C72E5F" w:rsidP="00C72E5F">
      <w:pPr>
        <w:jc w:val="both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Az önkormányzat költségvetésének előirányzatai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spacing w:before="120"/>
        <w:jc w:val="both"/>
        <w:rPr>
          <w:b/>
          <w:sz w:val="24"/>
          <w:szCs w:val="24"/>
          <w:u w:val="single"/>
        </w:rPr>
      </w:pPr>
      <w:r w:rsidRPr="00415C53">
        <w:rPr>
          <w:b/>
          <w:sz w:val="24"/>
          <w:szCs w:val="24"/>
          <w:u w:val="single"/>
        </w:rPr>
        <w:t>A költségvetési rendeletben szereplő bevételi jogcímek részletezése:</w:t>
      </w:r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lastRenderedPageBreak/>
        <w:t>Önkormányzatok működési támogatásai:</w:t>
      </w:r>
      <w:r w:rsidR="008924A0">
        <w:rPr>
          <w:sz w:val="24"/>
          <w:szCs w:val="24"/>
        </w:rPr>
        <w:tab/>
      </w:r>
      <w:r w:rsidRPr="00415C53">
        <w:rPr>
          <w:sz w:val="24"/>
          <w:szCs w:val="24"/>
        </w:rPr>
        <w:t>265 812 749</w:t>
      </w:r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Működési célú támogatások államháztartáson belülről:</w:t>
      </w:r>
      <w:r w:rsidR="008924A0">
        <w:rPr>
          <w:sz w:val="24"/>
          <w:szCs w:val="24"/>
        </w:rPr>
        <w:tab/>
      </w:r>
      <w:r w:rsidRPr="00415C53">
        <w:rPr>
          <w:sz w:val="24"/>
          <w:szCs w:val="24"/>
        </w:rPr>
        <w:t>63 200 000</w:t>
      </w:r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Közhatalmi bevételek:</w:t>
      </w:r>
      <w:r w:rsidR="008924A0">
        <w:rPr>
          <w:sz w:val="24"/>
          <w:szCs w:val="24"/>
        </w:rPr>
        <w:tab/>
      </w:r>
      <w:r w:rsidRPr="00415C53">
        <w:rPr>
          <w:sz w:val="24"/>
          <w:szCs w:val="24"/>
        </w:rPr>
        <w:t>180.000.000</w:t>
      </w:r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Működési bevételek:</w:t>
      </w:r>
      <w:r w:rsidR="008924A0">
        <w:rPr>
          <w:sz w:val="24"/>
          <w:szCs w:val="24"/>
        </w:rPr>
        <w:tab/>
      </w:r>
      <w:r w:rsidRPr="00415C53">
        <w:rPr>
          <w:sz w:val="24"/>
          <w:szCs w:val="24"/>
        </w:rPr>
        <w:t>40 215 000</w:t>
      </w:r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Működési célú átvett pénzeszközök</w:t>
      </w:r>
      <w:r w:rsidR="008924A0">
        <w:rPr>
          <w:sz w:val="24"/>
          <w:szCs w:val="24"/>
        </w:rPr>
        <w:tab/>
      </w:r>
      <w:r w:rsidRPr="00415C53">
        <w:rPr>
          <w:sz w:val="24"/>
          <w:szCs w:val="24"/>
        </w:rPr>
        <w:t>43 670 287</w:t>
      </w:r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Költségvetési, vállalkozási maradvány igénybevétele:</w:t>
      </w:r>
      <w:r w:rsidR="008924A0">
        <w:rPr>
          <w:sz w:val="24"/>
          <w:szCs w:val="24"/>
        </w:rPr>
        <w:tab/>
      </w:r>
      <w:r w:rsidRPr="00415C53">
        <w:rPr>
          <w:sz w:val="24"/>
          <w:szCs w:val="24"/>
        </w:rPr>
        <w:t xml:space="preserve">25 000 </w:t>
      </w:r>
      <w:proofErr w:type="spellStart"/>
      <w:r w:rsidRPr="00415C53">
        <w:rPr>
          <w:sz w:val="24"/>
          <w:szCs w:val="24"/>
        </w:rPr>
        <w:t>000</w:t>
      </w:r>
      <w:proofErr w:type="spellEnd"/>
    </w:p>
    <w:p w:rsidR="00C72E5F" w:rsidRPr="00415C53" w:rsidRDefault="00C72E5F" w:rsidP="008924A0">
      <w:pPr>
        <w:tabs>
          <w:tab w:val="right" w:pos="8931"/>
        </w:tabs>
        <w:spacing w:before="120"/>
        <w:jc w:val="both"/>
        <w:rPr>
          <w:b/>
          <w:sz w:val="24"/>
          <w:szCs w:val="24"/>
        </w:rPr>
      </w:pPr>
      <w:r w:rsidRPr="00415C53">
        <w:rPr>
          <w:b/>
          <w:sz w:val="24"/>
          <w:szCs w:val="24"/>
        </w:rPr>
        <w:t>Költségvetési és finanszírozási bevételek:</w:t>
      </w:r>
      <w:r w:rsidR="005D2988">
        <w:rPr>
          <w:b/>
          <w:sz w:val="24"/>
          <w:szCs w:val="24"/>
        </w:rPr>
        <w:tab/>
      </w:r>
      <w:r w:rsidRPr="00415C53">
        <w:rPr>
          <w:b/>
          <w:sz w:val="24"/>
          <w:szCs w:val="24"/>
        </w:rPr>
        <w:t>617 898 036</w:t>
      </w:r>
    </w:p>
    <w:p w:rsidR="00C72E5F" w:rsidRPr="00415C53" w:rsidRDefault="00C72E5F" w:rsidP="00C72E5F">
      <w:pPr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spacing w:before="120"/>
        <w:jc w:val="both"/>
        <w:rPr>
          <w:b/>
          <w:sz w:val="24"/>
          <w:szCs w:val="24"/>
          <w:u w:val="single"/>
        </w:rPr>
      </w:pPr>
      <w:r w:rsidRPr="00415C53">
        <w:rPr>
          <w:b/>
          <w:sz w:val="24"/>
          <w:szCs w:val="24"/>
          <w:u w:val="single"/>
        </w:rPr>
        <w:t>A költségvetési rendeletben szereplő kiadási jogcímek részletezése:</w:t>
      </w:r>
    </w:p>
    <w:p w:rsidR="00C72E5F" w:rsidRPr="00415C53" w:rsidRDefault="00C72E5F" w:rsidP="00C72E5F">
      <w:pPr>
        <w:spacing w:before="120"/>
        <w:jc w:val="both"/>
        <w:rPr>
          <w:b/>
          <w:sz w:val="24"/>
          <w:szCs w:val="24"/>
        </w:rPr>
      </w:pPr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Személyi juttatások:</w:t>
      </w:r>
      <w:r w:rsidRPr="00415C53">
        <w:rPr>
          <w:sz w:val="24"/>
          <w:szCs w:val="24"/>
        </w:rPr>
        <w:tab/>
        <w:t xml:space="preserve"> 212 823 200</w:t>
      </w:r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Munkaadókat terhelő járulékok és szociális hozzájárulási adó:</w:t>
      </w:r>
      <w:r w:rsidRPr="00415C53">
        <w:rPr>
          <w:sz w:val="24"/>
          <w:szCs w:val="24"/>
        </w:rPr>
        <w:tab/>
        <w:t>37 467 280</w:t>
      </w:r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Dologi kiadások:</w:t>
      </w:r>
      <w:r w:rsidRPr="00415C53">
        <w:rPr>
          <w:sz w:val="24"/>
          <w:szCs w:val="24"/>
        </w:rPr>
        <w:tab/>
        <w:t xml:space="preserve"> 229 834 453</w:t>
      </w:r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Ellátottak pénzbeli juttatásai:</w:t>
      </w:r>
      <w:r w:rsidRPr="00415C53">
        <w:rPr>
          <w:sz w:val="24"/>
          <w:szCs w:val="24"/>
        </w:rPr>
        <w:tab/>
        <w:t xml:space="preserve"> 7 000 </w:t>
      </w:r>
      <w:proofErr w:type="spellStart"/>
      <w:r w:rsidRPr="00415C53">
        <w:rPr>
          <w:sz w:val="24"/>
          <w:szCs w:val="24"/>
        </w:rPr>
        <w:t>000</w:t>
      </w:r>
      <w:proofErr w:type="spellEnd"/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Egyéb működési célú kiadások:</w:t>
      </w:r>
      <w:r w:rsidRPr="00415C53">
        <w:rPr>
          <w:sz w:val="24"/>
          <w:szCs w:val="24"/>
        </w:rPr>
        <w:tab/>
        <w:t xml:space="preserve">104 000 </w:t>
      </w:r>
      <w:proofErr w:type="spellStart"/>
      <w:r w:rsidRPr="00415C53">
        <w:rPr>
          <w:sz w:val="24"/>
          <w:szCs w:val="24"/>
        </w:rPr>
        <w:t>000</w:t>
      </w:r>
      <w:proofErr w:type="spellEnd"/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Beruházások:</w:t>
      </w:r>
      <w:r w:rsidRPr="00415C53">
        <w:rPr>
          <w:sz w:val="24"/>
          <w:szCs w:val="24"/>
        </w:rPr>
        <w:tab/>
        <w:t xml:space="preserve"> 2 027 000</w:t>
      </w:r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Egyéb felhalmozási célú kiadások:</w:t>
      </w:r>
      <w:r w:rsidRPr="00415C53">
        <w:rPr>
          <w:sz w:val="24"/>
          <w:szCs w:val="24"/>
        </w:rPr>
        <w:tab/>
        <w:t xml:space="preserve">2 000 </w:t>
      </w:r>
      <w:proofErr w:type="spellStart"/>
      <w:r w:rsidRPr="00415C53">
        <w:rPr>
          <w:sz w:val="24"/>
          <w:szCs w:val="24"/>
        </w:rPr>
        <w:t>000</w:t>
      </w:r>
      <w:proofErr w:type="spellEnd"/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sz w:val="24"/>
          <w:szCs w:val="24"/>
        </w:rPr>
      </w:pPr>
      <w:r w:rsidRPr="00415C53">
        <w:rPr>
          <w:sz w:val="24"/>
          <w:szCs w:val="24"/>
        </w:rPr>
        <w:t>Tartalék:</w:t>
      </w:r>
      <w:r w:rsidRPr="00415C53">
        <w:rPr>
          <w:sz w:val="24"/>
          <w:szCs w:val="24"/>
        </w:rPr>
        <w:tab/>
        <w:t xml:space="preserve"> 22 746 103</w:t>
      </w:r>
    </w:p>
    <w:p w:rsidR="00C72E5F" w:rsidRPr="00415C53" w:rsidRDefault="00C72E5F" w:rsidP="00C72E5F">
      <w:pPr>
        <w:tabs>
          <w:tab w:val="right" w:pos="8789"/>
        </w:tabs>
        <w:spacing w:before="120"/>
        <w:jc w:val="both"/>
        <w:rPr>
          <w:b/>
          <w:sz w:val="24"/>
          <w:szCs w:val="24"/>
        </w:rPr>
      </w:pPr>
      <w:r w:rsidRPr="00415C53">
        <w:rPr>
          <w:b/>
          <w:sz w:val="24"/>
          <w:szCs w:val="24"/>
        </w:rPr>
        <w:t>Költségvetési és finanszírozási kiadások:</w:t>
      </w:r>
      <w:r w:rsidRPr="00415C53">
        <w:rPr>
          <w:b/>
          <w:sz w:val="24"/>
          <w:szCs w:val="24"/>
        </w:rPr>
        <w:tab/>
        <w:t>617 898 036</w:t>
      </w:r>
    </w:p>
    <w:p w:rsidR="00C72E5F" w:rsidRPr="00415C53" w:rsidRDefault="00C72E5F" w:rsidP="00C72E5F">
      <w:pPr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V.</w:t>
      </w:r>
    </w:p>
    <w:p w:rsidR="00C72E5F" w:rsidRPr="00415C53" w:rsidRDefault="00C72E5F" w:rsidP="00C72E5F">
      <w:pPr>
        <w:jc w:val="both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Az önkormányzat kötelező és önként vállalt feladatai</w:t>
      </w:r>
    </w:p>
    <w:p w:rsidR="00C72E5F" w:rsidRPr="00415C53" w:rsidRDefault="00C72E5F" w:rsidP="00C72E5F">
      <w:pPr>
        <w:jc w:val="both"/>
        <w:rPr>
          <w:b/>
          <w:i/>
          <w:color w:val="0D0D0D"/>
          <w:sz w:val="24"/>
          <w:szCs w:val="24"/>
        </w:rPr>
      </w:pPr>
    </w:p>
    <w:p w:rsidR="00C72E5F" w:rsidRPr="00415C53" w:rsidRDefault="00C72E5F" w:rsidP="00C72E5F">
      <w:pPr>
        <w:numPr>
          <w:ilvl w:val="0"/>
          <w:numId w:val="2"/>
        </w:numPr>
        <w:jc w:val="both"/>
        <w:rPr>
          <w:b/>
          <w:i/>
          <w:color w:val="0D0D0D"/>
          <w:sz w:val="24"/>
          <w:szCs w:val="24"/>
        </w:rPr>
      </w:pPr>
      <w:r w:rsidRPr="00415C53">
        <w:rPr>
          <w:b/>
          <w:i/>
          <w:color w:val="0D0D0D"/>
          <w:sz w:val="24"/>
          <w:szCs w:val="24"/>
        </w:rPr>
        <w:t>Kötelező feladatok</w:t>
      </w:r>
    </w:p>
    <w:p w:rsidR="00C72E5F" w:rsidRPr="00415C53" w:rsidRDefault="00C72E5F" w:rsidP="00C72E5F">
      <w:pPr>
        <w:ind w:left="1068"/>
        <w:jc w:val="both"/>
        <w:rPr>
          <w:b/>
          <w:i/>
          <w:color w:val="0D0D0D"/>
          <w:sz w:val="24"/>
          <w:szCs w:val="24"/>
        </w:rPr>
      </w:pP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településfejlesztés, településrendezés;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a közterületek, valamint az önkormányzat tulajdonában álló közintézmény elnevezése;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egészségügyi alapellátás;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óvodai ellátás;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kulturális szolgáltatás, különösen a nyilvános könyvtári ellátás biztosítása</w:t>
      </w:r>
      <w:proofErr w:type="gramStart"/>
      <w:r w:rsidRPr="00415C53">
        <w:rPr>
          <w:color w:val="0D0D0D"/>
          <w:sz w:val="24"/>
          <w:szCs w:val="24"/>
        </w:rPr>
        <w:t>;  a</w:t>
      </w:r>
      <w:proofErr w:type="gramEnd"/>
      <w:r w:rsidRPr="00415C53">
        <w:rPr>
          <w:color w:val="0D0D0D"/>
          <w:sz w:val="24"/>
          <w:szCs w:val="24"/>
        </w:rPr>
        <w:t xml:space="preserve"> kulturális örökség helyi védelme; a helyi közművelődési tevékenység támogatása;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szociális szolgáltatások és ellátások, amelyek keretében települési támogatás állapítható meg;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lakás- és helyiséggazdálkodás;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honvédelem, polgári védelem, katasztrófavédelem, helyi közfoglalkoztatás;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lastRenderedPageBreak/>
        <w:t>helyi adóval, gazdaságszervezéssel és a turizmussal kapcsolatos feladatok;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a kistermelők, őstermelők számára - jogszabályban meghatározott termékeik értékesítési lehetőségeinek biztosítása, ideértve a hétvégi árusítás lehetőségét is;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nemzetiségi ügyek;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közreműködés a település közbiztonságának biztosításában;</w:t>
      </w:r>
    </w:p>
    <w:p w:rsidR="00C72E5F" w:rsidRPr="00415C53" w:rsidRDefault="00C72E5F" w:rsidP="00C72E5F">
      <w:pPr>
        <w:numPr>
          <w:ilvl w:val="0"/>
          <w:numId w:val="3"/>
        </w:numPr>
        <w:jc w:val="both"/>
        <w:rPr>
          <w:color w:val="0D0D0D"/>
          <w:sz w:val="24"/>
          <w:szCs w:val="24"/>
        </w:rPr>
      </w:pPr>
      <w:r w:rsidRPr="00415C53">
        <w:rPr>
          <w:color w:val="0D0D0D"/>
          <w:sz w:val="24"/>
          <w:szCs w:val="24"/>
        </w:rPr>
        <w:t>hulladékgazdálkodás;</w:t>
      </w:r>
    </w:p>
    <w:p w:rsidR="00C72E5F" w:rsidRPr="00415C53" w:rsidRDefault="00C72E5F" w:rsidP="00C72E5F">
      <w:pPr>
        <w:ind w:left="1428"/>
        <w:jc w:val="both"/>
        <w:rPr>
          <w:color w:val="0D0D0D"/>
          <w:sz w:val="24"/>
          <w:szCs w:val="24"/>
        </w:rPr>
      </w:pPr>
    </w:p>
    <w:p w:rsidR="00C72E5F" w:rsidRPr="00415C53" w:rsidRDefault="00C72E5F" w:rsidP="00C72E5F">
      <w:pPr>
        <w:ind w:left="1428"/>
        <w:jc w:val="both"/>
        <w:rPr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VI.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 xml:space="preserve">A költségvetési hiány finanszírozása és az önkormányzat költségvetési adósság törlesztése 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2013. évben az önkormányzat teljes adósságállománya konszolidálásra került, így adóssága önkormányzatunknak nincs. </w:t>
      </w:r>
    </w:p>
    <w:p w:rsidR="00C72E5F" w:rsidRPr="00415C53" w:rsidRDefault="00C72E5F" w:rsidP="00C72E5F">
      <w:pPr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 xml:space="preserve">VII. 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pStyle w:val="NormlWeb"/>
        <w:spacing w:before="0" w:beforeAutospacing="0" w:after="0" w:afterAutospacing="0"/>
        <w:ind w:left="150" w:right="150" w:hanging="150"/>
        <w:jc w:val="center"/>
        <w:rPr>
          <w:b/>
          <w:color w:val="0D0D0D"/>
        </w:rPr>
      </w:pPr>
      <w:r w:rsidRPr="00415C53">
        <w:rPr>
          <w:b/>
          <w:color w:val="0D0D0D"/>
        </w:rPr>
        <w:t xml:space="preserve">A Stabilitási tv. </w:t>
      </w:r>
      <w:proofErr w:type="gramStart"/>
      <w:r w:rsidRPr="00415C53">
        <w:rPr>
          <w:b/>
          <w:color w:val="0D0D0D"/>
        </w:rPr>
        <w:t>alapján</w:t>
      </w:r>
      <w:proofErr w:type="gramEnd"/>
      <w:r w:rsidRPr="00415C53">
        <w:rPr>
          <w:b/>
          <w:color w:val="0D0D0D"/>
        </w:rPr>
        <w:t xml:space="preserve"> kiadott jogszabályban meghatározottak szerinti saját bevételek és </w:t>
      </w:r>
      <w:bookmarkStart w:id="1" w:name="pr347"/>
      <w:bookmarkEnd w:id="1"/>
      <w:r w:rsidRPr="00415C53">
        <w:rPr>
          <w:b/>
          <w:color w:val="0D0D0D"/>
        </w:rPr>
        <w:t xml:space="preserve">adósságot keletkeztető ügyleteiből eredő fizetési kötelezettségeknek </w:t>
      </w:r>
      <w:bookmarkStart w:id="2" w:name="pr348"/>
      <w:bookmarkEnd w:id="2"/>
      <w:r w:rsidRPr="00415C53">
        <w:rPr>
          <w:b/>
          <w:color w:val="0D0D0D"/>
        </w:rPr>
        <w:t>a költségvetési évet követő három évre várható összege.</w:t>
      </w:r>
    </w:p>
    <w:p w:rsidR="00C72E5F" w:rsidRPr="00415C53" w:rsidRDefault="00C72E5F" w:rsidP="00C72E5F">
      <w:pPr>
        <w:pStyle w:val="NormlWeb"/>
        <w:spacing w:before="0" w:beforeAutospacing="0" w:after="0" w:afterAutospacing="0"/>
        <w:ind w:left="150" w:right="150" w:hanging="150"/>
        <w:jc w:val="center"/>
        <w:rPr>
          <w:b/>
          <w:color w:val="0D0D0D"/>
        </w:rPr>
      </w:pP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Az önkormányzatnak adósságot keletkeztető ügyletből eredő fizetési kötelezettsége 2020-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proofErr w:type="spellStart"/>
      <w:r w:rsidRPr="00415C53">
        <w:rPr>
          <w:sz w:val="24"/>
          <w:szCs w:val="24"/>
        </w:rPr>
        <w:t>ban</w:t>
      </w:r>
      <w:proofErr w:type="spellEnd"/>
      <w:r w:rsidRPr="00415C53">
        <w:rPr>
          <w:sz w:val="24"/>
          <w:szCs w:val="24"/>
        </w:rPr>
        <w:t xml:space="preserve"> és az azt követő három évben nincs. 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VIII.</w:t>
      </w: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</w:p>
    <w:p w:rsidR="00C72E5F" w:rsidRPr="00415C53" w:rsidRDefault="00C72E5F" w:rsidP="00C72E5F">
      <w:pPr>
        <w:jc w:val="center"/>
        <w:rPr>
          <w:b/>
          <w:color w:val="0D0D0D"/>
          <w:sz w:val="24"/>
          <w:szCs w:val="24"/>
        </w:rPr>
      </w:pPr>
      <w:r w:rsidRPr="00415C53">
        <w:rPr>
          <w:b/>
          <w:color w:val="0D0D0D"/>
          <w:sz w:val="24"/>
          <w:szCs w:val="24"/>
        </w:rPr>
        <w:t>Az Áht. 24. § (4) bekezdés a)</w:t>
      </w:r>
      <w:proofErr w:type="spellStart"/>
      <w:r w:rsidRPr="00415C53">
        <w:rPr>
          <w:b/>
          <w:color w:val="0D0D0D"/>
          <w:sz w:val="24"/>
          <w:szCs w:val="24"/>
        </w:rPr>
        <w:t>-d</w:t>
      </w:r>
      <w:proofErr w:type="spellEnd"/>
      <w:r w:rsidRPr="00415C53">
        <w:rPr>
          <w:b/>
          <w:color w:val="0D0D0D"/>
          <w:sz w:val="24"/>
          <w:szCs w:val="24"/>
        </w:rPr>
        <w:t>) pontjai által előírt mérlegek, kimutatások indokolása, ami tartalmazza</w:t>
      </w:r>
    </w:p>
    <w:p w:rsidR="00C72E5F" w:rsidRPr="00415C53" w:rsidRDefault="00C72E5F" w:rsidP="00C72E5F">
      <w:pPr>
        <w:rPr>
          <w:color w:val="0D0D0D"/>
          <w:sz w:val="24"/>
          <w:szCs w:val="24"/>
        </w:rPr>
      </w:pPr>
    </w:p>
    <w:p w:rsidR="00C72E5F" w:rsidRPr="00415C53" w:rsidRDefault="00C72E5F" w:rsidP="00C72E5F">
      <w:pPr>
        <w:pStyle w:val="Norml1"/>
        <w:numPr>
          <w:ilvl w:val="0"/>
          <w:numId w:val="1"/>
        </w:numPr>
        <w:spacing w:after="60"/>
        <w:ind w:left="360"/>
        <w:jc w:val="both"/>
        <w:rPr>
          <w:b/>
          <w:i/>
          <w:color w:val="0D0D0D"/>
          <w:lang w:val="hu-HU"/>
        </w:rPr>
      </w:pPr>
      <w:r w:rsidRPr="00415C53">
        <w:rPr>
          <w:b/>
          <w:i/>
          <w:color w:val="0D0D0D"/>
          <w:lang w:val="hu-HU"/>
        </w:rPr>
        <w:t>az önkormányzat költségvetési mérlegét közgazdasági tagolásban (összes bevételét, kiadást),</w:t>
      </w:r>
    </w:p>
    <w:p w:rsidR="00C72E5F" w:rsidRPr="00415C53" w:rsidRDefault="00C72E5F" w:rsidP="00C72E5F">
      <w:pPr>
        <w:overflowPunct/>
        <w:autoSpaceDE/>
        <w:autoSpaceDN/>
        <w:adjustRightInd/>
        <w:ind w:left="284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Az önkormányzat költségvetését 592 898 036.- Ft költségvetési bevétellel, 617 898 036 Ft költségvetési kiadással, 25 000 000.- Ft költségvetési hiánnyal terveztük. A költségvetési hiányt az előző évi költségvetési maradványból fedezzük. </w:t>
      </w:r>
    </w:p>
    <w:p w:rsidR="00C72E5F" w:rsidRPr="00415C53" w:rsidRDefault="00C72E5F" w:rsidP="00C72E5F">
      <w:pPr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pStyle w:val="Norml1"/>
        <w:numPr>
          <w:ilvl w:val="0"/>
          <w:numId w:val="1"/>
        </w:numPr>
        <w:spacing w:after="60"/>
        <w:ind w:left="360"/>
        <w:jc w:val="both"/>
        <w:rPr>
          <w:b/>
          <w:i/>
          <w:color w:val="0D0D0D"/>
          <w:lang w:val="hu-HU"/>
        </w:rPr>
      </w:pPr>
      <w:r w:rsidRPr="00415C53">
        <w:rPr>
          <w:b/>
          <w:i/>
          <w:color w:val="0D0D0D"/>
          <w:lang w:val="hu-HU"/>
        </w:rPr>
        <w:t xml:space="preserve">a többéves kihatással járó döntések számszerűsítését évenkénti bontásban és összesítve, </w:t>
      </w:r>
    </w:p>
    <w:p w:rsidR="00C72E5F" w:rsidRPr="00415C53" w:rsidRDefault="00C72E5F" w:rsidP="00C72E5F">
      <w:pPr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overflowPunct/>
        <w:autoSpaceDE/>
        <w:autoSpaceDN/>
        <w:adjustRightInd/>
        <w:ind w:left="360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Külön határozat. </w:t>
      </w:r>
    </w:p>
    <w:p w:rsidR="00C72E5F" w:rsidRPr="00415C53" w:rsidRDefault="00C72E5F" w:rsidP="00C72E5F">
      <w:pPr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pStyle w:val="Norml1"/>
        <w:numPr>
          <w:ilvl w:val="0"/>
          <w:numId w:val="1"/>
        </w:numPr>
        <w:spacing w:after="60"/>
        <w:ind w:left="360"/>
        <w:jc w:val="both"/>
        <w:rPr>
          <w:b/>
          <w:i/>
          <w:color w:val="0D0D0D"/>
          <w:lang w:val="hu-HU"/>
        </w:rPr>
      </w:pPr>
      <w:r w:rsidRPr="00415C53">
        <w:rPr>
          <w:b/>
          <w:i/>
          <w:color w:val="0D0D0D"/>
          <w:lang w:val="hu-HU"/>
        </w:rPr>
        <w:t>a közvetett támogatásokat (</w:t>
      </w:r>
      <w:proofErr w:type="spellStart"/>
      <w:r w:rsidRPr="00415C53">
        <w:rPr>
          <w:b/>
          <w:i/>
          <w:color w:val="0D0D0D"/>
          <w:lang w:val="hu-HU"/>
        </w:rPr>
        <w:t>pl</w:t>
      </w:r>
      <w:proofErr w:type="spellEnd"/>
      <w:r w:rsidRPr="00415C53">
        <w:rPr>
          <w:b/>
          <w:i/>
          <w:color w:val="0D0D0D"/>
          <w:lang w:val="hu-HU"/>
        </w:rPr>
        <w:t xml:space="preserve">: adóelengedéseket, adókedvezményeket) tartalmazó kimutatást. </w:t>
      </w:r>
    </w:p>
    <w:p w:rsidR="00C72E5F" w:rsidRPr="00415C53" w:rsidRDefault="00C72E5F" w:rsidP="00C72E5F">
      <w:pPr>
        <w:ind w:left="360"/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ind w:left="360"/>
        <w:rPr>
          <w:sz w:val="24"/>
          <w:szCs w:val="24"/>
          <w:lang w:eastAsia="en-US"/>
        </w:rPr>
      </w:pPr>
      <w:r w:rsidRPr="00415C53">
        <w:rPr>
          <w:sz w:val="24"/>
          <w:szCs w:val="24"/>
          <w:lang w:eastAsia="en-US"/>
        </w:rPr>
        <w:t>A helyi adó rendeletünk mentességet biztosít a szociálisan rászorulók és az időskorúak számára.</w:t>
      </w:r>
    </w:p>
    <w:p w:rsidR="00C72E5F" w:rsidRPr="00415C53" w:rsidRDefault="00C72E5F" w:rsidP="00C72E5F">
      <w:pPr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pStyle w:val="Norml1"/>
        <w:numPr>
          <w:ilvl w:val="0"/>
          <w:numId w:val="1"/>
        </w:numPr>
        <w:spacing w:after="60"/>
        <w:ind w:left="360"/>
        <w:jc w:val="both"/>
        <w:rPr>
          <w:b/>
          <w:i/>
          <w:color w:val="0D0D0D"/>
          <w:lang w:val="hu-HU"/>
        </w:rPr>
      </w:pPr>
      <w:r w:rsidRPr="00415C53">
        <w:rPr>
          <w:b/>
          <w:i/>
          <w:color w:val="0D0D0D"/>
          <w:lang w:val="hu-HU"/>
        </w:rPr>
        <w:t xml:space="preserve">előirányzat felhasználási tervét, </w:t>
      </w:r>
    </w:p>
    <w:p w:rsidR="00C72E5F" w:rsidRPr="00415C53" w:rsidRDefault="00C72E5F" w:rsidP="00C72E5F">
      <w:pPr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 xml:space="preserve">      Az előirányzatok felhasználását kiadási és bevételi oldalon is egyenletesen terveztük.</w:t>
      </w:r>
    </w:p>
    <w:p w:rsidR="00C72E5F" w:rsidRPr="00415C53" w:rsidRDefault="00C72E5F" w:rsidP="00C72E5F">
      <w:pPr>
        <w:rPr>
          <w:sz w:val="24"/>
          <w:szCs w:val="24"/>
          <w:lang w:eastAsia="en-US"/>
        </w:rPr>
      </w:pPr>
    </w:p>
    <w:p w:rsidR="00C72E5F" w:rsidRPr="00415C53" w:rsidRDefault="00C72E5F" w:rsidP="00C72E5F">
      <w:pPr>
        <w:numPr>
          <w:ilvl w:val="0"/>
          <w:numId w:val="1"/>
        </w:numPr>
        <w:spacing w:after="60"/>
        <w:ind w:left="284" w:hanging="284"/>
        <w:jc w:val="both"/>
        <w:rPr>
          <w:b/>
          <w:i/>
          <w:color w:val="0D0D0D"/>
          <w:sz w:val="24"/>
          <w:szCs w:val="24"/>
          <w:lang w:eastAsia="en-US"/>
        </w:rPr>
      </w:pPr>
      <w:r w:rsidRPr="00415C53">
        <w:rPr>
          <w:b/>
          <w:i/>
          <w:color w:val="0D0D0D"/>
          <w:sz w:val="24"/>
          <w:szCs w:val="24"/>
          <w:lang w:eastAsia="en-US"/>
        </w:rPr>
        <w:t>az Áht. 29/A. § szerinti tervszámoknak megfelelően a költségvetési évet követő három év tervezett előirányzatainak keretszámait főbb csoportokban, és a 29/A. § szerinti tervszámoktól történő esetleges eltérés indokait.</w:t>
      </w:r>
    </w:p>
    <w:p w:rsidR="00C72E5F" w:rsidRPr="00415C53" w:rsidRDefault="00C72E5F" w:rsidP="00C72E5F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15C53">
        <w:rPr>
          <w:sz w:val="24"/>
          <w:szCs w:val="24"/>
        </w:rPr>
        <w:t>Az Áht. 29/A. § szerinti tervszámokat a költségvetési évet követő három év előirányzatainak tervezésénél az óvatosság elve alapján terveztünk.</w:t>
      </w:r>
    </w:p>
    <w:p w:rsidR="000A0D7D" w:rsidRPr="00415C53" w:rsidRDefault="000A0D7D">
      <w:pPr>
        <w:rPr>
          <w:sz w:val="24"/>
          <w:szCs w:val="24"/>
        </w:rPr>
      </w:pPr>
    </w:p>
    <w:sectPr w:rsidR="000A0D7D" w:rsidRPr="0041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92177"/>
    <w:multiLevelType w:val="hybridMultilevel"/>
    <w:tmpl w:val="67AED80A"/>
    <w:lvl w:ilvl="0" w:tplc="39FAA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C1B18"/>
    <w:multiLevelType w:val="hybridMultilevel"/>
    <w:tmpl w:val="CEA2C298"/>
    <w:lvl w:ilvl="0" w:tplc="8F9CE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ED7347"/>
    <w:multiLevelType w:val="hybridMultilevel"/>
    <w:tmpl w:val="94DAD9CC"/>
    <w:lvl w:ilvl="0" w:tplc="7278CB1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F"/>
    <w:rsid w:val="000A0D7D"/>
    <w:rsid w:val="00131825"/>
    <w:rsid w:val="00415C53"/>
    <w:rsid w:val="005D2988"/>
    <w:rsid w:val="007A4168"/>
    <w:rsid w:val="008924A0"/>
    <w:rsid w:val="0097685E"/>
    <w:rsid w:val="00BC4525"/>
    <w:rsid w:val="00C7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EDCD2-AED5-4598-9F49-FB051EF9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2E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72E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72E5F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Norml1">
    <w:name w:val="Normál+1"/>
    <w:basedOn w:val="Norml"/>
    <w:next w:val="Norml"/>
    <w:rsid w:val="00C72E5F"/>
    <w:pPr>
      <w:overflowPunct/>
      <w:textAlignment w:val="auto"/>
    </w:pPr>
    <w:rPr>
      <w:sz w:val="24"/>
      <w:szCs w:val="24"/>
      <w:lang w:val="en-US" w:eastAsia="en-US"/>
    </w:rPr>
  </w:style>
  <w:style w:type="paragraph" w:styleId="NormlWeb">
    <w:name w:val="Normal (Web)"/>
    <w:basedOn w:val="Norml"/>
    <w:uiPriority w:val="99"/>
    <w:unhideWhenUsed/>
    <w:rsid w:val="00C72E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1482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2020-03-12T13:54:00Z</dcterms:created>
  <dcterms:modified xsi:type="dcterms:W3CDTF">2020-03-13T08:48:00Z</dcterms:modified>
</cp:coreProperties>
</file>