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E0" w:rsidRPr="006D63E0" w:rsidRDefault="006D63E0" w:rsidP="006D63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0853" w:rsidRPr="00225AAE" w:rsidRDefault="003006C1" w:rsidP="00225A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AAE">
        <w:rPr>
          <w:rFonts w:ascii="Times New Roman" w:hAnsi="Times New Roman"/>
          <w:b/>
          <w:sz w:val="24"/>
          <w:szCs w:val="24"/>
        </w:rPr>
        <w:t>INDOKOLÁS</w:t>
      </w:r>
    </w:p>
    <w:p w:rsidR="00107918" w:rsidRDefault="00107918" w:rsidP="00225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06C1" w:rsidRPr="00225AAE" w:rsidRDefault="003006C1" w:rsidP="00225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5AAE">
        <w:rPr>
          <w:rFonts w:ascii="Times New Roman" w:hAnsi="Times New Roman"/>
          <w:sz w:val="24"/>
          <w:szCs w:val="24"/>
        </w:rPr>
        <w:t>Általános indokolás</w:t>
      </w:r>
    </w:p>
    <w:p w:rsidR="00107918" w:rsidRPr="00225AAE" w:rsidRDefault="00107918" w:rsidP="00225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6C5" w:rsidRDefault="00225AAE" w:rsidP="00225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településképi rendelet módosítását az elmúlt közel egy év alatt összegyűlt tapasztalatok, az azóta történt jogszabályváltozások indokolják. </w:t>
      </w:r>
      <w:r w:rsidR="00CF3AC3">
        <w:rPr>
          <w:rFonts w:ascii="Times New Roman" w:hAnsi="Times New Roman"/>
          <w:sz w:val="24"/>
          <w:szCs w:val="24"/>
        </w:rPr>
        <w:t xml:space="preserve">A tervezett módosítás fő célja az épített környezet minőségének </w:t>
      </w:r>
      <w:r w:rsidR="000340B2">
        <w:rPr>
          <w:rFonts w:ascii="Times New Roman" w:hAnsi="Times New Roman"/>
          <w:sz w:val="24"/>
          <w:szCs w:val="24"/>
        </w:rPr>
        <w:t>növelése</w:t>
      </w:r>
      <w:r w:rsidR="00CF3AC3">
        <w:rPr>
          <w:rFonts w:ascii="Times New Roman" w:hAnsi="Times New Roman"/>
          <w:sz w:val="24"/>
          <w:szCs w:val="24"/>
        </w:rPr>
        <w:t xml:space="preserve">, az építtetők segítése az építésügyi és településképi előírásokról szóló konzultációval, ezáltal a szabálytalan építkezések </w:t>
      </w:r>
      <w:r w:rsidR="00B47E14">
        <w:rPr>
          <w:rFonts w:ascii="Times New Roman" w:hAnsi="Times New Roman"/>
          <w:sz w:val="24"/>
          <w:szCs w:val="24"/>
        </w:rPr>
        <w:t>számának csökkentése</w:t>
      </w:r>
      <w:r w:rsidR="00CF3AC3">
        <w:rPr>
          <w:rFonts w:ascii="Times New Roman" w:hAnsi="Times New Roman"/>
          <w:sz w:val="24"/>
          <w:szCs w:val="24"/>
        </w:rPr>
        <w:t>.</w:t>
      </w:r>
    </w:p>
    <w:p w:rsidR="00107918" w:rsidRPr="00225AAE" w:rsidRDefault="00107918" w:rsidP="00225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2274" w:rsidRPr="00225AAE" w:rsidRDefault="00B52274" w:rsidP="00225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5AAE">
        <w:rPr>
          <w:rFonts w:ascii="Times New Roman" w:hAnsi="Times New Roman"/>
          <w:sz w:val="24"/>
          <w:szCs w:val="24"/>
        </w:rPr>
        <w:t>Részletes indokolás</w:t>
      </w:r>
    </w:p>
    <w:p w:rsidR="008D6C36" w:rsidRPr="00225AAE" w:rsidRDefault="008D6C36" w:rsidP="00225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2274" w:rsidRPr="00225AAE" w:rsidRDefault="00B911AE" w:rsidP="00225AA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</w:t>
      </w:r>
      <w:r w:rsidR="00225AAE">
        <w:rPr>
          <w:rFonts w:ascii="Times New Roman" w:hAnsi="Times New Roman"/>
          <w:i/>
          <w:sz w:val="24"/>
          <w:szCs w:val="24"/>
        </w:rPr>
        <w:t>.</w:t>
      </w:r>
      <w:r w:rsidR="00B52274" w:rsidRPr="00225AAE">
        <w:rPr>
          <w:rFonts w:ascii="Times New Roman" w:hAnsi="Times New Roman"/>
          <w:i/>
          <w:sz w:val="24"/>
          <w:szCs w:val="24"/>
        </w:rPr>
        <w:t xml:space="preserve"> §</w:t>
      </w:r>
      <w:proofErr w:type="spellStart"/>
      <w:r w:rsidR="00B52274"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B52274" w:rsidRPr="00225AAE" w:rsidRDefault="00225AAE" w:rsidP="00225AA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B911AE">
        <w:rPr>
          <w:rFonts w:ascii="Times New Roman" w:hAnsi="Times New Roman"/>
          <w:sz w:val="24"/>
          <w:szCs w:val="24"/>
        </w:rPr>
        <w:t>fogalommeghatározások</w:t>
      </w:r>
      <w:proofErr w:type="spellEnd"/>
      <w:r w:rsidR="00B911AE">
        <w:rPr>
          <w:rFonts w:ascii="Times New Roman" w:hAnsi="Times New Roman"/>
          <w:sz w:val="24"/>
          <w:szCs w:val="24"/>
        </w:rPr>
        <w:t xml:space="preserve"> körének bővítése a szabályok egységes alkalmazásának elősegítése </w:t>
      </w:r>
      <w:r w:rsidR="000D0E76">
        <w:rPr>
          <w:rFonts w:ascii="Times New Roman" w:hAnsi="Times New Roman"/>
          <w:sz w:val="24"/>
          <w:szCs w:val="24"/>
        </w:rPr>
        <w:t xml:space="preserve">miatt </w:t>
      </w:r>
      <w:r w:rsidR="000340B2">
        <w:rPr>
          <w:rFonts w:ascii="Times New Roman" w:hAnsi="Times New Roman"/>
          <w:sz w:val="24"/>
          <w:szCs w:val="24"/>
        </w:rPr>
        <w:t xml:space="preserve">vált </w:t>
      </w:r>
      <w:r w:rsidR="000D0E76">
        <w:rPr>
          <w:rFonts w:ascii="Times New Roman" w:hAnsi="Times New Roman"/>
          <w:sz w:val="24"/>
          <w:szCs w:val="24"/>
        </w:rPr>
        <w:t>szükséges</w:t>
      </w:r>
      <w:r w:rsidR="000340B2">
        <w:rPr>
          <w:rFonts w:ascii="Times New Roman" w:hAnsi="Times New Roman"/>
          <w:sz w:val="24"/>
          <w:szCs w:val="24"/>
        </w:rPr>
        <w:t>sé</w:t>
      </w:r>
      <w:r w:rsidR="000D0E76">
        <w:rPr>
          <w:rFonts w:ascii="Times New Roman" w:hAnsi="Times New Roman"/>
          <w:sz w:val="24"/>
          <w:szCs w:val="24"/>
        </w:rPr>
        <w:t>.</w:t>
      </w:r>
    </w:p>
    <w:p w:rsidR="00B52274" w:rsidRPr="00225AAE" w:rsidRDefault="00B52274" w:rsidP="00225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274" w:rsidRPr="00225AAE" w:rsidRDefault="00B911AE" w:rsidP="00225AA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2-8</w:t>
      </w:r>
      <w:r w:rsidR="00B52274" w:rsidRPr="00225AAE">
        <w:rPr>
          <w:rFonts w:ascii="Times New Roman" w:hAnsi="Times New Roman"/>
          <w:i/>
          <w:sz w:val="24"/>
          <w:szCs w:val="24"/>
        </w:rPr>
        <w:t>. §</w:t>
      </w:r>
      <w:proofErr w:type="spellStart"/>
      <w:r w:rsidR="00B52274"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455953" w:rsidRPr="00225AAE" w:rsidRDefault="000D0E76" w:rsidP="000D0E76">
      <w:pPr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B911AE">
        <w:rPr>
          <w:rFonts w:ascii="Times New Roman" w:hAnsi="Times New Roman"/>
          <w:sz w:val="24"/>
          <w:szCs w:val="24"/>
        </w:rPr>
        <w:t xml:space="preserve">kerületi védelem szabályainak </w:t>
      </w:r>
      <w:r w:rsidR="00D24B20">
        <w:rPr>
          <w:rFonts w:ascii="Times New Roman" w:hAnsi="Times New Roman"/>
          <w:sz w:val="24"/>
          <w:szCs w:val="24"/>
        </w:rPr>
        <w:t xml:space="preserve">bővítése </w:t>
      </w:r>
      <w:r w:rsidR="00B911AE">
        <w:rPr>
          <w:rFonts w:ascii="Times New Roman" w:hAnsi="Times New Roman"/>
          <w:sz w:val="24"/>
          <w:szCs w:val="24"/>
        </w:rPr>
        <w:t>a</w:t>
      </w:r>
      <w:r w:rsidR="00D24B20">
        <w:rPr>
          <w:rFonts w:ascii="Times New Roman" w:hAnsi="Times New Roman"/>
          <w:sz w:val="24"/>
          <w:szCs w:val="24"/>
        </w:rPr>
        <w:t>z értékvédelem feladatainak és a</w:t>
      </w:r>
      <w:r w:rsidR="00B911AE">
        <w:rPr>
          <w:rFonts w:ascii="Times New Roman" w:hAnsi="Times New Roman"/>
          <w:sz w:val="24"/>
          <w:szCs w:val="24"/>
        </w:rPr>
        <w:t xml:space="preserve"> védetté nyilvánítási eljárás </w:t>
      </w:r>
      <w:r w:rsidR="00D24B20">
        <w:rPr>
          <w:rFonts w:ascii="Times New Roman" w:hAnsi="Times New Roman"/>
          <w:sz w:val="24"/>
          <w:szCs w:val="24"/>
        </w:rPr>
        <w:t xml:space="preserve">pontosítására, az eljárás </w:t>
      </w:r>
      <w:r w:rsidR="00B911AE">
        <w:rPr>
          <w:rFonts w:ascii="Times New Roman" w:hAnsi="Times New Roman"/>
          <w:sz w:val="24"/>
          <w:szCs w:val="24"/>
        </w:rPr>
        <w:t>hivatalból történő megindításának lehetőségére tesz javaslatot.</w:t>
      </w:r>
    </w:p>
    <w:p w:rsidR="00455953" w:rsidRPr="00225AAE" w:rsidRDefault="00455953" w:rsidP="00225AA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52274" w:rsidRPr="00225AAE" w:rsidRDefault="00D24B20" w:rsidP="00225AA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9-</w:t>
      </w:r>
      <w:r w:rsidR="000D0E76">
        <w:rPr>
          <w:rFonts w:ascii="Times New Roman" w:hAnsi="Times New Roman"/>
          <w:i/>
          <w:iCs/>
          <w:sz w:val="24"/>
          <w:szCs w:val="24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="00455953" w:rsidRPr="00225AAE">
        <w:rPr>
          <w:rFonts w:ascii="Times New Roman" w:hAnsi="Times New Roman"/>
          <w:i/>
          <w:iCs/>
          <w:sz w:val="24"/>
          <w:szCs w:val="24"/>
        </w:rPr>
        <w:t>. §</w:t>
      </w:r>
      <w:proofErr w:type="spellStart"/>
      <w:r w:rsidR="00AA0311" w:rsidRPr="00225AAE">
        <w:rPr>
          <w:rFonts w:ascii="Times New Roman" w:hAnsi="Times New Roman"/>
          <w:i/>
          <w:iCs/>
          <w:sz w:val="24"/>
          <w:szCs w:val="24"/>
        </w:rPr>
        <w:t>-hoz</w:t>
      </w:r>
      <w:proofErr w:type="spellEnd"/>
    </w:p>
    <w:p w:rsidR="00AA0311" w:rsidRPr="00225AAE" w:rsidRDefault="00D24B20" w:rsidP="000D0E7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374475">
        <w:rPr>
          <w:rFonts w:ascii="Times New Roman" w:hAnsi="Times New Roman"/>
          <w:sz w:val="24"/>
          <w:szCs w:val="24"/>
        </w:rPr>
        <w:t xml:space="preserve">szabályok kibővítése a </w:t>
      </w:r>
      <w:r>
        <w:rPr>
          <w:rFonts w:ascii="Times New Roman" w:hAnsi="Times New Roman"/>
          <w:sz w:val="24"/>
          <w:szCs w:val="24"/>
        </w:rPr>
        <w:t>településképi szempontból meghatározó területekre vonatkozó területi építészeti követelmények pontosítására</w:t>
      </w:r>
      <w:r w:rsidR="00374475">
        <w:rPr>
          <w:rFonts w:ascii="Times New Roman" w:hAnsi="Times New Roman"/>
          <w:sz w:val="24"/>
          <w:szCs w:val="24"/>
        </w:rPr>
        <w:t>, a gyakorlati tapasztalatok alapján szükségessé váló részletezésére</w:t>
      </w:r>
      <w:r>
        <w:rPr>
          <w:rFonts w:ascii="Times New Roman" w:hAnsi="Times New Roman"/>
          <w:sz w:val="24"/>
          <w:szCs w:val="24"/>
        </w:rPr>
        <w:t xml:space="preserve"> irányul. </w:t>
      </w:r>
    </w:p>
    <w:p w:rsidR="00AA0311" w:rsidRPr="00225AAE" w:rsidRDefault="00AA0311" w:rsidP="00225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216B" w:rsidRPr="00225AAE" w:rsidRDefault="00374475" w:rsidP="00225AA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13-</w:t>
      </w:r>
      <w:r w:rsidR="00E64724">
        <w:rPr>
          <w:rFonts w:ascii="Times New Roman" w:hAnsi="Times New Roman"/>
          <w:i/>
          <w:sz w:val="24"/>
          <w:szCs w:val="24"/>
        </w:rPr>
        <w:t>20</w:t>
      </w:r>
      <w:r w:rsidR="00FA216B" w:rsidRPr="00225AAE">
        <w:rPr>
          <w:rFonts w:ascii="Times New Roman" w:hAnsi="Times New Roman"/>
          <w:i/>
          <w:sz w:val="24"/>
          <w:szCs w:val="24"/>
        </w:rPr>
        <w:t>. §</w:t>
      </w:r>
      <w:proofErr w:type="spellStart"/>
      <w:r w:rsidR="00FA216B"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FA216B" w:rsidRPr="00225AAE" w:rsidRDefault="00374475" w:rsidP="000D0E7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szabályok kibővítése a településképi szempontból meghatározó területekre vonatkozó egyedi építészeti követelmények pontosítására, a gyakorlati tapasztalatok alapján szükségessé váló részletezésére irányul. </w:t>
      </w:r>
    </w:p>
    <w:p w:rsidR="00077DB0" w:rsidRDefault="00077DB0" w:rsidP="00225AA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077DB0" w:rsidRDefault="00077DB0" w:rsidP="00225AA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077DB0" w:rsidRDefault="00077DB0" w:rsidP="00225AA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077DB0" w:rsidRDefault="00077DB0" w:rsidP="00225AA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1545DD" w:rsidRPr="00225AAE" w:rsidRDefault="00374475" w:rsidP="00225AA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2</w:t>
      </w:r>
      <w:r w:rsidR="00E64724">
        <w:rPr>
          <w:rFonts w:ascii="Times New Roman" w:hAnsi="Times New Roman"/>
          <w:i/>
          <w:iCs/>
          <w:sz w:val="24"/>
          <w:szCs w:val="24"/>
        </w:rPr>
        <w:t>1-22</w:t>
      </w:r>
      <w:r w:rsidR="001545DD" w:rsidRPr="00225AAE">
        <w:rPr>
          <w:rFonts w:ascii="Times New Roman" w:hAnsi="Times New Roman"/>
          <w:i/>
          <w:iCs/>
          <w:sz w:val="24"/>
          <w:szCs w:val="24"/>
        </w:rPr>
        <w:t>. §</w:t>
      </w:r>
      <w:proofErr w:type="spellStart"/>
      <w:r w:rsidR="001545DD" w:rsidRPr="00225AAE">
        <w:rPr>
          <w:rFonts w:ascii="Times New Roman" w:hAnsi="Times New Roman"/>
          <w:i/>
          <w:iCs/>
          <w:sz w:val="24"/>
          <w:szCs w:val="24"/>
        </w:rPr>
        <w:t>-hoz</w:t>
      </w:r>
      <w:proofErr w:type="spellEnd"/>
    </w:p>
    <w:p w:rsidR="00374475" w:rsidRDefault="00374475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171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módosítás a kerületi védelem alatt álló településrészekre vonatkozó egyedi építészeti követelmények pontosítására, a gyakorlati tapasztalatok alapján szükségessé váló részletezésére tesz javaslatot.</w:t>
      </w:r>
    </w:p>
    <w:p w:rsidR="000F5621" w:rsidRDefault="000F5621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18C" w:rsidRPr="00225AAE" w:rsidRDefault="0061718C" w:rsidP="0061718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="00E64724">
        <w:rPr>
          <w:rFonts w:ascii="Times New Roman" w:hAnsi="Times New Roman"/>
          <w:i/>
          <w:sz w:val="24"/>
          <w:szCs w:val="24"/>
        </w:rPr>
        <w:t>3</w:t>
      </w:r>
      <w:r w:rsidRPr="00225AAE">
        <w:rPr>
          <w:rFonts w:ascii="Times New Roman" w:hAnsi="Times New Roman"/>
          <w:i/>
          <w:sz w:val="24"/>
          <w:szCs w:val="24"/>
        </w:rPr>
        <w:t>. §</w:t>
      </w:r>
      <w:proofErr w:type="spellStart"/>
      <w:r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61718C" w:rsidRDefault="00214735" w:rsidP="0061718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35">
        <w:rPr>
          <w:rFonts w:ascii="Times New Roman" w:hAnsi="Times New Roman"/>
          <w:sz w:val="24"/>
          <w:szCs w:val="24"/>
        </w:rPr>
        <w:t xml:space="preserve">Az előírás </w:t>
      </w:r>
      <w:r w:rsidR="00E77289">
        <w:rPr>
          <w:rFonts w:ascii="Times New Roman" w:hAnsi="Times New Roman"/>
          <w:sz w:val="24"/>
          <w:szCs w:val="24"/>
        </w:rPr>
        <w:t xml:space="preserve">– </w:t>
      </w:r>
      <w:r w:rsidRPr="00214735">
        <w:rPr>
          <w:rFonts w:ascii="Times New Roman" w:hAnsi="Times New Roman"/>
          <w:sz w:val="24"/>
          <w:szCs w:val="24"/>
        </w:rPr>
        <w:t xml:space="preserve">a településképi rendelet tartalmi követelményeinek megfelelően </w:t>
      </w:r>
      <w:r w:rsidR="00E77289">
        <w:rPr>
          <w:rFonts w:ascii="Times New Roman" w:hAnsi="Times New Roman"/>
          <w:sz w:val="24"/>
          <w:szCs w:val="24"/>
        </w:rPr>
        <w:t xml:space="preserve">– </w:t>
      </w:r>
      <w:r w:rsidRPr="00214735">
        <w:rPr>
          <w:rFonts w:ascii="Times New Roman" w:hAnsi="Times New Roman"/>
          <w:sz w:val="24"/>
          <w:szCs w:val="24"/>
        </w:rPr>
        <w:t>lehatárolj</w:t>
      </w:r>
      <w:r>
        <w:rPr>
          <w:rFonts w:ascii="Times New Roman" w:hAnsi="Times New Roman"/>
          <w:sz w:val="24"/>
          <w:szCs w:val="24"/>
        </w:rPr>
        <w:t>a</w:t>
      </w:r>
      <w:r w:rsidRPr="00214735">
        <w:rPr>
          <w:rFonts w:ascii="Times New Roman" w:hAnsi="Times New Roman"/>
          <w:sz w:val="24"/>
          <w:szCs w:val="24"/>
        </w:rPr>
        <w:t xml:space="preserve"> azokat a területeket, melyek nem alkalmasak a teljes település ellátását biztosító felszíni elektronikus hírközlési sajátos építmények, műtárgyak elhelyezésére.</w:t>
      </w:r>
      <w:r>
        <w:rPr>
          <w:rFonts w:ascii="Times New Roman" w:hAnsi="Times New Roman"/>
          <w:sz w:val="24"/>
          <w:szCs w:val="24"/>
        </w:rPr>
        <w:t xml:space="preserve"> A módosítás megteremti </w:t>
      </w:r>
      <w:proofErr w:type="gramStart"/>
      <w:r>
        <w:rPr>
          <w:rFonts w:ascii="Times New Roman" w:hAnsi="Times New Roman"/>
          <w:sz w:val="24"/>
          <w:szCs w:val="24"/>
        </w:rPr>
        <w:t>ezen</w:t>
      </w:r>
      <w:proofErr w:type="gramEnd"/>
      <w:r>
        <w:rPr>
          <w:rFonts w:ascii="Times New Roman" w:hAnsi="Times New Roman"/>
          <w:sz w:val="24"/>
          <w:szCs w:val="24"/>
        </w:rPr>
        <w:t xml:space="preserve"> műtárgyak épületen belüli, kívülről nem látható módon történő elhelyezésének lehetőségét</w:t>
      </w:r>
      <w:r w:rsidR="00E77289">
        <w:rPr>
          <w:rFonts w:ascii="Times New Roman" w:hAnsi="Times New Roman"/>
          <w:sz w:val="24"/>
          <w:szCs w:val="24"/>
        </w:rPr>
        <w:t xml:space="preserve"> is</w:t>
      </w:r>
      <w:r>
        <w:rPr>
          <w:rFonts w:ascii="Times New Roman" w:hAnsi="Times New Roman"/>
          <w:sz w:val="24"/>
          <w:szCs w:val="24"/>
        </w:rPr>
        <w:t>.</w:t>
      </w:r>
    </w:p>
    <w:p w:rsidR="008E797A" w:rsidRPr="00225AAE" w:rsidRDefault="008E797A" w:rsidP="0061718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7AB" w:rsidRDefault="00550A6A" w:rsidP="00550A6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="00E64724">
        <w:rPr>
          <w:rFonts w:ascii="Times New Roman" w:hAnsi="Times New Roman"/>
          <w:i/>
          <w:sz w:val="24"/>
          <w:szCs w:val="24"/>
        </w:rPr>
        <w:t>4</w:t>
      </w:r>
      <w:r w:rsidR="00E77289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2</w:t>
      </w:r>
      <w:r w:rsidR="00E64724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225AAE">
        <w:rPr>
          <w:rFonts w:ascii="Times New Roman" w:hAnsi="Times New Roman"/>
          <w:i/>
          <w:sz w:val="24"/>
          <w:szCs w:val="24"/>
        </w:rPr>
        <w:t>§</w:t>
      </w:r>
      <w:proofErr w:type="spellStart"/>
      <w:r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550A6A" w:rsidRPr="00C827AB" w:rsidRDefault="00550A6A" w:rsidP="00C827AB">
      <w:pPr>
        <w:jc w:val="center"/>
        <w:rPr>
          <w:rFonts w:ascii="Times New Roman" w:hAnsi="Times New Roman"/>
          <w:sz w:val="24"/>
          <w:szCs w:val="24"/>
        </w:rPr>
      </w:pPr>
    </w:p>
    <w:p w:rsidR="00374475" w:rsidRDefault="00550A6A" w:rsidP="00550A6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A6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módosítás a </w:t>
      </w:r>
      <w:r w:rsidRPr="00550A6A">
        <w:rPr>
          <w:rFonts w:ascii="Times New Roman" w:hAnsi="Times New Roman"/>
          <w:sz w:val="24"/>
          <w:szCs w:val="24"/>
        </w:rPr>
        <w:t>településképi szempontból meghatározó, kerületi területi és egyedi védelemmel érintett területekre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A6A">
        <w:rPr>
          <w:rFonts w:ascii="Times New Roman" w:hAnsi="Times New Roman"/>
          <w:sz w:val="24"/>
          <w:szCs w:val="24"/>
        </w:rPr>
        <w:t>vonatkozó településképi követelmények</w:t>
      </w:r>
      <w:r>
        <w:rPr>
          <w:rFonts w:ascii="Times New Roman" w:hAnsi="Times New Roman"/>
          <w:sz w:val="24"/>
          <w:szCs w:val="24"/>
        </w:rPr>
        <w:t xml:space="preserve"> pontosítására, kiegészítésére irányul. Az </w:t>
      </w:r>
      <w:proofErr w:type="spellStart"/>
      <w:r>
        <w:rPr>
          <w:rFonts w:ascii="Times New Roman" w:hAnsi="Times New Roman"/>
          <w:sz w:val="24"/>
          <w:szCs w:val="24"/>
        </w:rPr>
        <w:t>utasvárók</w:t>
      </w:r>
      <w:proofErr w:type="spellEnd"/>
      <w:r>
        <w:rPr>
          <w:rFonts w:ascii="Times New Roman" w:hAnsi="Times New Roman"/>
          <w:sz w:val="24"/>
          <w:szCs w:val="24"/>
        </w:rPr>
        <w:t xml:space="preserve"> kihelyezése így az induló és érkező oldalra is lehetővé válik.</w:t>
      </w:r>
    </w:p>
    <w:p w:rsidR="00550A6A" w:rsidRDefault="00550A6A" w:rsidP="00550A6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A6A" w:rsidRDefault="00550A6A" w:rsidP="00550A6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="00E64724">
        <w:rPr>
          <w:rFonts w:ascii="Times New Roman" w:hAnsi="Times New Roman"/>
          <w:i/>
          <w:sz w:val="24"/>
          <w:szCs w:val="24"/>
        </w:rPr>
        <w:t>6</w:t>
      </w:r>
      <w:r w:rsidR="00E77289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2</w:t>
      </w:r>
      <w:r w:rsidR="00E64724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225AAE">
        <w:rPr>
          <w:rFonts w:ascii="Times New Roman" w:hAnsi="Times New Roman"/>
          <w:i/>
          <w:sz w:val="24"/>
          <w:szCs w:val="24"/>
        </w:rPr>
        <w:t>§</w:t>
      </w:r>
      <w:proofErr w:type="spellStart"/>
      <w:r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550A6A" w:rsidRDefault="00550A6A" w:rsidP="00550A6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módosítás a szakmai </w:t>
      </w:r>
      <w:proofErr w:type="gramStart"/>
      <w:r>
        <w:rPr>
          <w:rFonts w:ascii="Times New Roman" w:hAnsi="Times New Roman"/>
          <w:sz w:val="24"/>
          <w:szCs w:val="24"/>
        </w:rPr>
        <w:t>konzultáció kötelező</w:t>
      </w:r>
      <w:proofErr w:type="gramEnd"/>
      <w:r>
        <w:rPr>
          <w:rFonts w:ascii="Times New Roman" w:hAnsi="Times New Roman"/>
          <w:sz w:val="24"/>
          <w:szCs w:val="24"/>
        </w:rPr>
        <w:t xml:space="preserve"> eseteinek és részletes szabályainak kiegészítésére irányul.</w:t>
      </w:r>
      <w:r w:rsidR="00E33A4E">
        <w:rPr>
          <w:rFonts w:ascii="Times New Roman" w:hAnsi="Times New Roman"/>
          <w:sz w:val="24"/>
          <w:szCs w:val="24"/>
        </w:rPr>
        <w:t xml:space="preserve"> A </w:t>
      </w:r>
      <w:r w:rsidR="00E77289">
        <w:rPr>
          <w:rFonts w:ascii="Times New Roman" w:hAnsi="Times New Roman"/>
          <w:sz w:val="24"/>
          <w:szCs w:val="24"/>
        </w:rPr>
        <w:t xml:space="preserve">javaslat szerint a </w:t>
      </w:r>
      <w:r w:rsidR="00E33A4E">
        <w:rPr>
          <w:rFonts w:ascii="Times New Roman" w:hAnsi="Times New Roman"/>
          <w:sz w:val="24"/>
          <w:szCs w:val="24"/>
        </w:rPr>
        <w:t>kötelező szakmai konzultáció egyszerű bejelentés alapján építhető lakóépületek tekintetében az összes településképi szempontból meghatározó területre kiterjed</w:t>
      </w:r>
      <w:r w:rsidR="008E1242">
        <w:rPr>
          <w:rFonts w:ascii="Times New Roman" w:hAnsi="Times New Roman"/>
          <w:sz w:val="24"/>
          <w:szCs w:val="24"/>
        </w:rPr>
        <w:t xml:space="preserve">. A szakmai konzultáció </w:t>
      </w:r>
      <w:r w:rsidR="000E4B20">
        <w:rPr>
          <w:rFonts w:ascii="Times New Roman" w:hAnsi="Times New Roman"/>
          <w:sz w:val="24"/>
          <w:szCs w:val="24"/>
        </w:rPr>
        <w:t>a településképi előírások mellett a kerületi építési szabályzat előírásainak ismertetésére is kiterjed</w:t>
      </w:r>
      <w:r w:rsidR="008E1242">
        <w:rPr>
          <w:rFonts w:ascii="Times New Roman" w:hAnsi="Times New Roman"/>
          <w:sz w:val="24"/>
          <w:szCs w:val="24"/>
        </w:rPr>
        <w:t>.</w:t>
      </w:r>
      <w:r w:rsidR="000E4B20">
        <w:rPr>
          <w:rFonts w:ascii="Times New Roman" w:hAnsi="Times New Roman"/>
          <w:sz w:val="24"/>
          <w:szCs w:val="24"/>
        </w:rPr>
        <w:t xml:space="preserve"> A</w:t>
      </w:r>
      <w:r w:rsidR="00E772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77289">
        <w:rPr>
          <w:rFonts w:ascii="Times New Roman" w:hAnsi="Times New Roman"/>
          <w:sz w:val="24"/>
          <w:szCs w:val="24"/>
        </w:rPr>
        <w:t>településké</w:t>
      </w:r>
      <w:r w:rsidR="00DF6789">
        <w:rPr>
          <w:rFonts w:ascii="Times New Roman" w:hAnsi="Times New Roman"/>
          <w:sz w:val="24"/>
          <w:szCs w:val="24"/>
        </w:rPr>
        <w:t>p</w:t>
      </w:r>
      <w:r w:rsidR="00E77289">
        <w:rPr>
          <w:rFonts w:ascii="Times New Roman" w:hAnsi="Times New Roman"/>
          <w:sz w:val="24"/>
          <w:szCs w:val="24"/>
        </w:rPr>
        <w:t>-védelmi tájékoztatással</w:t>
      </w:r>
      <w:proofErr w:type="gramEnd"/>
      <w:r w:rsidR="00E77289">
        <w:rPr>
          <w:rFonts w:ascii="Times New Roman" w:hAnsi="Times New Roman"/>
          <w:sz w:val="24"/>
          <w:szCs w:val="24"/>
        </w:rPr>
        <w:t>, a</w:t>
      </w:r>
      <w:r w:rsidR="000E4B20">
        <w:rPr>
          <w:rFonts w:ascii="Times New Roman" w:hAnsi="Times New Roman"/>
          <w:sz w:val="24"/>
          <w:szCs w:val="24"/>
        </w:rPr>
        <w:t xml:space="preserve"> konzultáció kiterjesztésével és az előírások pontosításával megnőhet az esélye a szabálytalan építkezések kiküszöbölésének.</w:t>
      </w:r>
    </w:p>
    <w:p w:rsidR="002B573C" w:rsidRDefault="002B573C" w:rsidP="000E4B2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E4B20" w:rsidRPr="00225AAE" w:rsidRDefault="000E4B20" w:rsidP="000E4B2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2</w:t>
      </w:r>
      <w:r w:rsidR="00E64724">
        <w:rPr>
          <w:rFonts w:ascii="Times New Roman" w:hAnsi="Times New Roman"/>
          <w:i/>
          <w:sz w:val="24"/>
          <w:szCs w:val="24"/>
        </w:rPr>
        <w:t>9</w:t>
      </w:r>
      <w:r w:rsidRPr="00225AAE">
        <w:rPr>
          <w:rFonts w:ascii="Times New Roman" w:hAnsi="Times New Roman"/>
          <w:i/>
          <w:sz w:val="24"/>
          <w:szCs w:val="24"/>
        </w:rPr>
        <w:t>. §</w:t>
      </w:r>
      <w:proofErr w:type="spellStart"/>
      <w:r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0E4B20" w:rsidRDefault="000E4B20" w:rsidP="00550A6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fővárosi védelem alá vont építmények esetében a főpolgármester adhat településképi véleményt, ezért szükséges a </w:t>
      </w:r>
      <w:r w:rsidR="00D3087D">
        <w:rPr>
          <w:rFonts w:ascii="Times New Roman" w:hAnsi="Times New Roman"/>
          <w:sz w:val="24"/>
          <w:szCs w:val="24"/>
        </w:rPr>
        <w:t>kerületi településképi véleményezés alóli kizárások kiegészítése.</w:t>
      </w:r>
    </w:p>
    <w:p w:rsidR="00D3087D" w:rsidRDefault="00D3087D" w:rsidP="00550A6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87D" w:rsidRPr="00225AAE" w:rsidRDefault="00E64724" w:rsidP="00D3087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30</w:t>
      </w:r>
      <w:r w:rsidR="00D3087D" w:rsidRPr="00225AAE">
        <w:rPr>
          <w:rFonts w:ascii="Times New Roman" w:hAnsi="Times New Roman"/>
          <w:i/>
          <w:sz w:val="24"/>
          <w:szCs w:val="24"/>
        </w:rPr>
        <w:t>. §</w:t>
      </w:r>
      <w:proofErr w:type="spellStart"/>
      <w:r w:rsidR="00D3087D"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550A6A" w:rsidRDefault="00D3087D" w:rsidP="00550A6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módosítás a településképi véleményezési dokumentáció részletes leírását szabályozza, a kormányrendelet dokumentációra vonatkozó előírásaival összhangban.</w:t>
      </w:r>
    </w:p>
    <w:p w:rsidR="00D3087D" w:rsidRDefault="00D3087D" w:rsidP="00550A6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87D" w:rsidRPr="00225AAE" w:rsidRDefault="00E64724" w:rsidP="00D3087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31</w:t>
      </w:r>
      <w:r w:rsidR="00D3087D" w:rsidRPr="00225AAE">
        <w:rPr>
          <w:rFonts w:ascii="Times New Roman" w:hAnsi="Times New Roman"/>
          <w:i/>
          <w:sz w:val="24"/>
          <w:szCs w:val="24"/>
        </w:rPr>
        <w:t>. §</w:t>
      </w:r>
      <w:proofErr w:type="spellStart"/>
      <w:r w:rsidR="00D3087D"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374475" w:rsidRDefault="00D3087D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településképi véleményezés szempontjait szükséges a településképi arculati kézikönyvben foglaltakkal is kiegészíteni.</w:t>
      </w:r>
    </w:p>
    <w:p w:rsidR="00D3087D" w:rsidRDefault="00D3087D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87D" w:rsidRPr="00225AAE" w:rsidRDefault="00D3087D" w:rsidP="00D3087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="00E64724">
        <w:rPr>
          <w:rFonts w:ascii="Times New Roman" w:hAnsi="Times New Roman"/>
          <w:i/>
          <w:sz w:val="24"/>
          <w:szCs w:val="24"/>
        </w:rPr>
        <w:t>2</w:t>
      </w:r>
      <w:r w:rsidRPr="00225AAE">
        <w:rPr>
          <w:rFonts w:ascii="Times New Roman" w:hAnsi="Times New Roman"/>
          <w:i/>
          <w:sz w:val="24"/>
          <w:szCs w:val="24"/>
        </w:rPr>
        <w:t>. §</w:t>
      </w:r>
      <w:proofErr w:type="spellStart"/>
      <w:r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D3087D" w:rsidRDefault="00D3087D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tervezet </w:t>
      </w:r>
      <w:r w:rsidR="00C827AB">
        <w:rPr>
          <w:rFonts w:ascii="Times New Roman" w:hAnsi="Times New Roman"/>
          <w:sz w:val="24"/>
          <w:szCs w:val="24"/>
        </w:rPr>
        <w:t xml:space="preserve">a védelem alatt álló épületek tekintetében </w:t>
      </w:r>
      <w:r>
        <w:rPr>
          <w:rFonts w:ascii="Times New Roman" w:hAnsi="Times New Roman"/>
          <w:sz w:val="24"/>
          <w:szCs w:val="24"/>
        </w:rPr>
        <w:t>bővíti az építési engedély nélkül</w:t>
      </w:r>
      <w:r w:rsidR="00C137A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 településképi bejelentési eljárás alapján végezhető tevékenységek körét</w:t>
      </w:r>
      <w:r w:rsidR="00C827AB">
        <w:rPr>
          <w:rFonts w:ascii="Times New Roman" w:hAnsi="Times New Roman"/>
          <w:sz w:val="24"/>
          <w:szCs w:val="24"/>
        </w:rPr>
        <w:t xml:space="preserve">, ugyanakkor felsorolásra kerülnek azok az esetek, amelyekre </w:t>
      </w:r>
      <w:r w:rsidR="00CD6E77">
        <w:rPr>
          <w:rFonts w:ascii="Times New Roman" w:hAnsi="Times New Roman"/>
          <w:sz w:val="24"/>
          <w:szCs w:val="24"/>
        </w:rPr>
        <w:t xml:space="preserve">egyéb </w:t>
      </w:r>
      <w:proofErr w:type="spellStart"/>
      <w:r w:rsidR="00CD6E77">
        <w:rPr>
          <w:rFonts w:ascii="Times New Roman" w:hAnsi="Times New Roman"/>
          <w:sz w:val="24"/>
          <w:szCs w:val="24"/>
        </w:rPr>
        <w:t>felsőbbszintű</w:t>
      </w:r>
      <w:proofErr w:type="spellEnd"/>
      <w:r w:rsidR="00CD6E77">
        <w:rPr>
          <w:rFonts w:ascii="Times New Roman" w:hAnsi="Times New Roman"/>
          <w:sz w:val="24"/>
          <w:szCs w:val="24"/>
        </w:rPr>
        <w:t xml:space="preserve"> jogszabályi előírás miatt </w:t>
      </w:r>
      <w:r w:rsidR="00C827AB">
        <w:rPr>
          <w:rFonts w:ascii="Times New Roman" w:hAnsi="Times New Roman"/>
          <w:sz w:val="24"/>
          <w:szCs w:val="24"/>
        </w:rPr>
        <w:t>nem indítható települé</w:t>
      </w:r>
      <w:r w:rsidR="007123C0">
        <w:rPr>
          <w:rFonts w:ascii="Times New Roman" w:hAnsi="Times New Roman"/>
          <w:sz w:val="24"/>
          <w:szCs w:val="24"/>
        </w:rPr>
        <w:t>s</w:t>
      </w:r>
      <w:r w:rsidR="00C827AB">
        <w:rPr>
          <w:rFonts w:ascii="Times New Roman" w:hAnsi="Times New Roman"/>
          <w:sz w:val="24"/>
          <w:szCs w:val="24"/>
        </w:rPr>
        <w:t>képi bejelentési eljárás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3087D" w:rsidRDefault="00D3087D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E77" w:rsidRPr="00225AAE" w:rsidRDefault="00CD6E77" w:rsidP="00CD6E7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="00E64724">
        <w:rPr>
          <w:rFonts w:ascii="Times New Roman" w:hAnsi="Times New Roman"/>
          <w:i/>
          <w:sz w:val="24"/>
          <w:szCs w:val="24"/>
        </w:rPr>
        <w:t>3</w:t>
      </w:r>
      <w:r w:rsidRPr="00225AAE">
        <w:rPr>
          <w:rFonts w:ascii="Times New Roman" w:hAnsi="Times New Roman"/>
          <w:i/>
          <w:sz w:val="24"/>
          <w:szCs w:val="24"/>
        </w:rPr>
        <w:t>. §</w:t>
      </w:r>
      <w:proofErr w:type="spellStart"/>
      <w:r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B01C2E" w:rsidRDefault="00B01C2E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településképi bejelentési eljárások kiszélesítésével szükséges az eljáráshoz benyújtandó mellékletek felsorolását is módosítani. </w:t>
      </w:r>
    </w:p>
    <w:p w:rsidR="00CD6E77" w:rsidRDefault="00B01C2E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településfejlesztési koncepcióról, az integrált településfejlesztési stratégiáról és a településrendezési eszközökről, valamint az egyes településrendezési sajátos jogintézményekről szóló 314/2012. (XI. 8.) Korm. rendelet </w:t>
      </w:r>
      <w:r w:rsidR="00AE1F78">
        <w:rPr>
          <w:rFonts w:ascii="Times New Roman" w:hAnsi="Times New Roman"/>
          <w:sz w:val="24"/>
          <w:szCs w:val="24"/>
        </w:rPr>
        <w:t>26/C. §</w:t>
      </w:r>
      <w:proofErr w:type="spellStart"/>
      <w:r w:rsidR="00DF6789">
        <w:rPr>
          <w:rFonts w:ascii="Times New Roman" w:hAnsi="Times New Roman"/>
          <w:sz w:val="24"/>
          <w:szCs w:val="24"/>
        </w:rPr>
        <w:t>-a</w:t>
      </w:r>
      <w:proofErr w:type="spellEnd"/>
      <w:r w:rsidR="00AE1F78">
        <w:rPr>
          <w:rFonts w:ascii="Times New Roman" w:hAnsi="Times New Roman"/>
          <w:sz w:val="24"/>
          <w:szCs w:val="24"/>
        </w:rPr>
        <w:t xml:space="preserve"> 2020. március 18-ától hatályos (2) és (3) bekezdése </w:t>
      </w:r>
      <w:r>
        <w:rPr>
          <w:rFonts w:ascii="Times New Roman" w:hAnsi="Times New Roman"/>
          <w:sz w:val="24"/>
          <w:szCs w:val="24"/>
        </w:rPr>
        <w:t>a polgármester hatáskörébe utalja a rendeltetésváltozás</w:t>
      </w:r>
      <w:r w:rsidR="00AE1F78">
        <w:rPr>
          <w:rFonts w:ascii="Times New Roman" w:hAnsi="Times New Roman"/>
          <w:sz w:val="24"/>
          <w:szCs w:val="24"/>
        </w:rPr>
        <w:t>ról,</w:t>
      </w:r>
      <w:r>
        <w:rPr>
          <w:rFonts w:ascii="Times New Roman" w:hAnsi="Times New Roman"/>
          <w:sz w:val="24"/>
          <w:szCs w:val="24"/>
        </w:rPr>
        <w:t xml:space="preserve"> és az építési engedélyhez, egyszerű bejelentéshez vagy örökségvédelmi bejelentéshez nem kötött, 2012. december 31. után épített </w:t>
      </w:r>
      <w:r>
        <w:rPr>
          <w:rFonts w:ascii="Times New Roman" w:hAnsi="Times New Roman"/>
          <w:sz w:val="24"/>
          <w:szCs w:val="24"/>
        </w:rPr>
        <w:lastRenderedPageBreak/>
        <w:t xml:space="preserve">építmények felépültéről szóló – az ingatlan-nyilvántartásban történő átvezetés céljából történő </w:t>
      </w:r>
      <w:r w:rsidR="00EE0A5C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hatósá</w:t>
      </w:r>
      <w:r w:rsidR="00EE0A5C">
        <w:rPr>
          <w:rFonts w:ascii="Times New Roman" w:hAnsi="Times New Roman"/>
          <w:sz w:val="24"/>
          <w:szCs w:val="24"/>
        </w:rPr>
        <w:t>gi bizonyítványok kiállítását</w:t>
      </w:r>
      <w:r>
        <w:rPr>
          <w:rFonts w:ascii="Times New Roman" w:hAnsi="Times New Roman"/>
          <w:sz w:val="24"/>
          <w:szCs w:val="24"/>
        </w:rPr>
        <w:t>.</w:t>
      </w:r>
      <w:r w:rsidR="00EE0A5C">
        <w:rPr>
          <w:rFonts w:ascii="Times New Roman" w:hAnsi="Times New Roman"/>
          <w:sz w:val="24"/>
          <w:szCs w:val="24"/>
        </w:rPr>
        <w:t xml:space="preserve"> Ezekben az új eljárásokban is szükséges meghatározni a beadandó mellékleteket.</w:t>
      </w:r>
    </w:p>
    <w:p w:rsidR="00EE0A5C" w:rsidRDefault="00EE0A5C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A5C" w:rsidRPr="00225AAE" w:rsidRDefault="00EE0A5C" w:rsidP="00EE0A5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="00E64724">
        <w:rPr>
          <w:rFonts w:ascii="Times New Roman" w:hAnsi="Times New Roman"/>
          <w:i/>
          <w:sz w:val="24"/>
          <w:szCs w:val="24"/>
        </w:rPr>
        <w:t>4</w:t>
      </w:r>
      <w:r w:rsidR="00E77289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3</w:t>
      </w:r>
      <w:r w:rsidR="00E64724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225AAE">
        <w:rPr>
          <w:rFonts w:ascii="Times New Roman" w:hAnsi="Times New Roman"/>
          <w:i/>
          <w:sz w:val="24"/>
          <w:szCs w:val="24"/>
        </w:rPr>
        <w:t>§</w:t>
      </w:r>
      <w:proofErr w:type="spellStart"/>
      <w:r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EE0A5C" w:rsidRDefault="00EE0A5C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településképi bejelentési eljárások bővülésével párhuzamosan szükséges az eljárási szabályokat is részletezni.</w:t>
      </w:r>
    </w:p>
    <w:p w:rsidR="00EE0A5C" w:rsidRDefault="00EE0A5C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A5C" w:rsidRPr="00225AAE" w:rsidRDefault="00EE0A5C" w:rsidP="00EE0A5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="00E64724">
        <w:rPr>
          <w:rFonts w:ascii="Times New Roman" w:hAnsi="Times New Roman"/>
          <w:i/>
          <w:sz w:val="24"/>
          <w:szCs w:val="24"/>
        </w:rPr>
        <w:t>6</w:t>
      </w:r>
      <w:r w:rsidR="00E77289">
        <w:rPr>
          <w:rFonts w:ascii="Times New Roman" w:hAnsi="Times New Roman"/>
          <w:i/>
          <w:sz w:val="24"/>
          <w:szCs w:val="24"/>
        </w:rPr>
        <w:t>-</w:t>
      </w:r>
      <w:r w:rsidR="00E64724">
        <w:rPr>
          <w:rFonts w:ascii="Times New Roman" w:hAnsi="Times New Roman"/>
          <w:i/>
          <w:sz w:val="24"/>
          <w:szCs w:val="24"/>
        </w:rPr>
        <w:t>41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225AAE">
        <w:rPr>
          <w:rFonts w:ascii="Times New Roman" w:hAnsi="Times New Roman"/>
          <w:i/>
          <w:sz w:val="24"/>
          <w:szCs w:val="24"/>
        </w:rPr>
        <w:t>§</w:t>
      </w:r>
      <w:proofErr w:type="spellStart"/>
      <w:r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EE0A5C" w:rsidRDefault="00EE0A5C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településképi bejelentési eljárások bővülésével párhuzamosan a településképi kötelezések esetköreit is szükséges meghatározni. </w:t>
      </w:r>
      <w:r w:rsidR="00AE642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gyidejűleg a javaslat </w:t>
      </w:r>
      <w:r w:rsidR="00AE6424">
        <w:rPr>
          <w:rFonts w:ascii="Times New Roman" w:hAnsi="Times New Roman"/>
          <w:sz w:val="24"/>
          <w:szCs w:val="24"/>
        </w:rPr>
        <w:t>pontosítja a településképi kötelezési eljárás szabályait, részletezi a településkép-védelmi bírság kiszabásának esetköreit, a bírság kiszabásánál figyelembe veendő mérlegelési szempontokat és differenciálja a településkép-védelmi bírság összegét, illetve pontosítja a településképi kötelezést valamint településkép-védelmi bírságot kiszabó döntés elleni jogorvoslati eljárást.</w:t>
      </w:r>
    </w:p>
    <w:p w:rsidR="00AE6424" w:rsidRDefault="00AE6424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424" w:rsidRPr="00225AAE" w:rsidRDefault="00AE6424" w:rsidP="00AE642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E64724">
        <w:rPr>
          <w:rFonts w:ascii="Times New Roman" w:hAnsi="Times New Roman"/>
          <w:i/>
          <w:sz w:val="24"/>
          <w:szCs w:val="24"/>
        </w:rPr>
        <w:t>2</w:t>
      </w:r>
      <w:r w:rsidR="00E77289">
        <w:rPr>
          <w:rFonts w:ascii="Times New Roman" w:hAnsi="Times New Roman"/>
          <w:i/>
          <w:sz w:val="24"/>
          <w:szCs w:val="24"/>
        </w:rPr>
        <w:t>-</w:t>
      </w:r>
      <w:r w:rsidR="000F5621">
        <w:rPr>
          <w:rFonts w:ascii="Times New Roman" w:hAnsi="Times New Roman"/>
          <w:i/>
          <w:sz w:val="24"/>
          <w:szCs w:val="24"/>
        </w:rPr>
        <w:t>4</w:t>
      </w:r>
      <w:r w:rsidR="00E64724">
        <w:rPr>
          <w:rFonts w:ascii="Times New Roman" w:hAnsi="Times New Roman"/>
          <w:i/>
          <w:sz w:val="24"/>
          <w:szCs w:val="24"/>
        </w:rPr>
        <w:t>3</w:t>
      </w:r>
      <w:r w:rsidR="000F5621">
        <w:rPr>
          <w:rFonts w:ascii="Times New Roman" w:hAnsi="Times New Roman"/>
          <w:i/>
          <w:sz w:val="24"/>
          <w:szCs w:val="24"/>
        </w:rPr>
        <w:t xml:space="preserve">. </w:t>
      </w:r>
      <w:r w:rsidRPr="00225AAE">
        <w:rPr>
          <w:rFonts w:ascii="Times New Roman" w:hAnsi="Times New Roman"/>
          <w:i/>
          <w:sz w:val="24"/>
          <w:szCs w:val="24"/>
        </w:rPr>
        <w:t>§</w:t>
      </w:r>
      <w:proofErr w:type="spellStart"/>
      <w:r w:rsidRPr="00225AAE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AE6424" w:rsidRDefault="00AE6424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településkép-védelmi szankciókkal egyidejűleg szélesedik a védett építészeti </w:t>
      </w:r>
      <w:r w:rsidR="000F5621">
        <w:rPr>
          <w:rFonts w:ascii="Times New Roman" w:hAnsi="Times New Roman"/>
          <w:sz w:val="24"/>
          <w:szCs w:val="24"/>
        </w:rPr>
        <w:t>értékek megőrzésének támogatására szolgáló pályázat</w:t>
      </w:r>
      <w:r w:rsidR="00AE1F78">
        <w:rPr>
          <w:rFonts w:ascii="Times New Roman" w:hAnsi="Times New Roman"/>
          <w:sz w:val="24"/>
          <w:szCs w:val="24"/>
        </w:rPr>
        <w:t>nál a</w:t>
      </w:r>
      <w:r w:rsidR="000F5621">
        <w:rPr>
          <w:rFonts w:ascii="Times New Roman" w:hAnsi="Times New Roman"/>
          <w:sz w:val="24"/>
          <w:szCs w:val="24"/>
        </w:rPr>
        <w:t xml:space="preserve"> </w:t>
      </w:r>
      <w:r w:rsidR="00AE1F78">
        <w:rPr>
          <w:rFonts w:ascii="Times New Roman" w:hAnsi="Times New Roman"/>
          <w:sz w:val="24"/>
          <w:szCs w:val="24"/>
        </w:rPr>
        <w:t>támogatható ingatlanok</w:t>
      </w:r>
      <w:r w:rsidR="000F5621">
        <w:rPr>
          <w:rFonts w:ascii="Times New Roman" w:hAnsi="Times New Roman"/>
          <w:sz w:val="24"/>
          <w:szCs w:val="24"/>
        </w:rPr>
        <w:t xml:space="preserve"> köre is</w:t>
      </w:r>
      <w:r w:rsidR="00AE1F78">
        <w:rPr>
          <w:rFonts w:ascii="Times New Roman" w:hAnsi="Times New Roman"/>
          <w:sz w:val="24"/>
          <w:szCs w:val="24"/>
        </w:rPr>
        <w:t xml:space="preserve"> </w:t>
      </w:r>
      <w:r w:rsidR="000F5621">
        <w:rPr>
          <w:rFonts w:ascii="Times New Roman" w:hAnsi="Times New Roman"/>
          <w:sz w:val="24"/>
          <w:szCs w:val="24"/>
        </w:rPr>
        <w:t>a fővárosi rendelettel védett épületegyüttesek</w:t>
      </w:r>
      <w:r w:rsidR="00AE1F78">
        <w:rPr>
          <w:rFonts w:ascii="Times New Roman" w:hAnsi="Times New Roman"/>
          <w:sz w:val="24"/>
          <w:szCs w:val="24"/>
        </w:rPr>
        <w:t>kel</w:t>
      </w:r>
      <w:r w:rsidR="000F5621">
        <w:rPr>
          <w:rFonts w:ascii="Times New Roman" w:hAnsi="Times New Roman"/>
          <w:sz w:val="24"/>
          <w:szCs w:val="24"/>
        </w:rPr>
        <w:t>, továbbá pontosításra kerülnek a pályázat felhasználásának feltételei.</w:t>
      </w:r>
    </w:p>
    <w:p w:rsidR="000F5621" w:rsidRDefault="000F5621" w:rsidP="0010791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621" w:rsidRPr="000F5621" w:rsidRDefault="000F5621" w:rsidP="000F5621">
      <w:pPr>
        <w:spacing w:before="120"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F5621">
        <w:rPr>
          <w:rFonts w:ascii="Times New Roman" w:hAnsi="Times New Roman"/>
          <w:i/>
          <w:sz w:val="24"/>
          <w:szCs w:val="24"/>
        </w:rPr>
        <w:t>4</w:t>
      </w:r>
      <w:r w:rsidR="00E64724">
        <w:rPr>
          <w:rFonts w:ascii="Times New Roman" w:hAnsi="Times New Roman"/>
          <w:i/>
          <w:sz w:val="24"/>
          <w:szCs w:val="24"/>
        </w:rPr>
        <w:t>4</w:t>
      </w:r>
      <w:r w:rsidR="00E77289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4</w:t>
      </w:r>
      <w:r w:rsidR="00E64724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0F5621">
        <w:rPr>
          <w:rFonts w:ascii="Times New Roman" w:hAnsi="Times New Roman"/>
          <w:i/>
          <w:sz w:val="24"/>
          <w:szCs w:val="24"/>
        </w:rPr>
        <w:t>§</w:t>
      </w:r>
      <w:proofErr w:type="spellStart"/>
      <w:r w:rsidRPr="000F5621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0F5621" w:rsidRDefault="000F5621" w:rsidP="000F562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tervezet 21. §</w:t>
      </w:r>
      <w:proofErr w:type="spellStart"/>
      <w:r>
        <w:rPr>
          <w:rFonts w:ascii="Times New Roman" w:hAnsi="Times New Roman"/>
          <w:sz w:val="24"/>
          <w:szCs w:val="24"/>
        </w:rPr>
        <w:t>-ával</w:t>
      </w:r>
      <w:proofErr w:type="spellEnd"/>
      <w:r>
        <w:rPr>
          <w:rFonts w:ascii="Times New Roman" w:hAnsi="Times New Roman"/>
          <w:sz w:val="24"/>
          <w:szCs w:val="24"/>
        </w:rPr>
        <w:t xml:space="preserve"> összhangban szükséges a </w:t>
      </w:r>
      <w:r w:rsidR="00815F9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endelet</w:t>
      </w:r>
      <w:r w:rsidR="00AE1F78">
        <w:rPr>
          <w:rFonts w:ascii="Times New Roman" w:hAnsi="Times New Roman"/>
          <w:sz w:val="24"/>
          <w:szCs w:val="24"/>
        </w:rPr>
        <w:t xml:space="preserve"> 4. mellékletének módosítása</w:t>
      </w:r>
      <w:r w:rsidR="00815F9E">
        <w:rPr>
          <w:rFonts w:ascii="Times New Roman" w:hAnsi="Times New Roman"/>
          <w:sz w:val="24"/>
          <w:szCs w:val="24"/>
        </w:rPr>
        <w:t>, illetve az új jogintézményekhez kapcsolódó mellékletek meghatározása</w:t>
      </w:r>
      <w:r w:rsidR="00AE1F78">
        <w:rPr>
          <w:rFonts w:ascii="Times New Roman" w:hAnsi="Times New Roman"/>
          <w:sz w:val="24"/>
          <w:szCs w:val="24"/>
        </w:rPr>
        <w:t xml:space="preserve"> is</w:t>
      </w:r>
      <w:r w:rsidR="00815F9E">
        <w:rPr>
          <w:rFonts w:ascii="Times New Roman" w:hAnsi="Times New Roman"/>
          <w:sz w:val="24"/>
          <w:szCs w:val="24"/>
        </w:rPr>
        <w:t>.</w:t>
      </w:r>
    </w:p>
    <w:p w:rsidR="004C786D" w:rsidRDefault="004C786D" w:rsidP="000F562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73C" w:rsidRDefault="002B573C" w:rsidP="000F562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DB0" w:rsidRDefault="00077DB0" w:rsidP="000F562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F9E" w:rsidRPr="000F5621" w:rsidRDefault="00815F9E" w:rsidP="00815F9E">
      <w:pPr>
        <w:spacing w:before="120"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4</w:t>
      </w:r>
      <w:r w:rsidR="00E64724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0F5621">
        <w:rPr>
          <w:rFonts w:ascii="Times New Roman" w:hAnsi="Times New Roman"/>
          <w:i/>
          <w:sz w:val="24"/>
          <w:szCs w:val="24"/>
        </w:rPr>
        <w:t>§</w:t>
      </w:r>
      <w:proofErr w:type="spellStart"/>
      <w:r w:rsidRPr="000F5621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815F9E" w:rsidRDefault="00815F9E" w:rsidP="00815F9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meghatározások pontosítását tartalmazó szövegcserés módosításokat tartalmazza.</w:t>
      </w:r>
    </w:p>
    <w:p w:rsidR="00815F9E" w:rsidRDefault="00815F9E" w:rsidP="00815F9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F9E" w:rsidRPr="000F5621" w:rsidRDefault="00815F9E" w:rsidP="00815F9E">
      <w:pPr>
        <w:spacing w:before="120"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E64724"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0F5621">
        <w:rPr>
          <w:rFonts w:ascii="Times New Roman" w:hAnsi="Times New Roman"/>
          <w:i/>
          <w:sz w:val="24"/>
          <w:szCs w:val="24"/>
        </w:rPr>
        <w:t>§</w:t>
      </w:r>
      <w:proofErr w:type="spellStart"/>
      <w:r w:rsidRPr="000F5621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815F9E" w:rsidRPr="00225AAE" w:rsidRDefault="00815F9E" w:rsidP="00815F9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 Rendelet hatálybalépésére tesz javaslatot.</w:t>
      </w:r>
    </w:p>
    <w:p w:rsidR="00815F9E" w:rsidRDefault="00815F9E" w:rsidP="000F562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F9E" w:rsidRPr="000F5621" w:rsidRDefault="00815F9E" w:rsidP="00815F9E">
      <w:pPr>
        <w:spacing w:before="120"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E64724">
        <w:rPr>
          <w:rFonts w:ascii="Times New Roman" w:hAnsi="Times New Roman"/>
          <w:i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. </w:t>
      </w:r>
      <w:r w:rsidRPr="000F5621">
        <w:rPr>
          <w:rFonts w:ascii="Times New Roman" w:hAnsi="Times New Roman"/>
          <w:i/>
          <w:sz w:val="24"/>
          <w:szCs w:val="24"/>
        </w:rPr>
        <w:t>§</w:t>
      </w:r>
      <w:proofErr w:type="spellStart"/>
      <w:r w:rsidRPr="000F5621">
        <w:rPr>
          <w:rFonts w:ascii="Times New Roman" w:hAnsi="Times New Roman"/>
          <w:i/>
          <w:sz w:val="24"/>
          <w:szCs w:val="24"/>
        </w:rPr>
        <w:t>-hoz</w:t>
      </w:r>
      <w:proofErr w:type="spellEnd"/>
    </w:p>
    <w:p w:rsidR="00815F9E" w:rsidRDefault="00815F9E" w:rsidP="00815F9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33777C">
        <w:rPr>
          <w:rFonts w:ascii="Times New Roman" w:hAnsi="Times New Roman"/>
          <w:sz w:val="24"/>
          <w:szCs w:val="24"/>
        </w:rPr>
        <w:t>felsőbb szintű jogszabályi előírások és egyéb indokok miatt szükségessé vált hatályon kívül helyezésekre tesz javaslatot</w:t>
      </w:r>
      <w:r>
        <w:rPr>
          <w:rFonts w:ascii="Times New Roman" w:hAnsi="Times New Roman"/>
          <w:sz w:val="24"/>
          <w:szCs w:val="24"/>
        </w:rPr>
        <w:t>.</w:t>
      </w:r>
    </w:p>
    <w:p w:rsidR="00815F9E" w:rsidRDefault="00815F9E" w:rsidP="00815F9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621" w:rsidRDefault="000F5621" w:rsidP="000F562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F5621" w:rsidSect="00077DB0">
      <w:footerReference w:type="default" r:id="rId7"/>
      <w:headerReference w:type="first" r:id="rId8"/>
      <w:type w:val="continuous"/>
      <w:pgSz w:w="11906" w:h="16838" w:code="9"/>
      <w:pgMar w:top="1412" w:right="1418" w:bottom="1134" w:left="1418" w:header="709" w:footer="561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7AB" w:rsidRDefault="00C827AB" w:rsidP="00C827AB">
      <w:pPr>
        <w:spacing w:after="0" w:line="240" w:lineRule="auto"/>
      </w:pPr>
      <w:r>
        <w:separator/>
      </w:r>
    </w:p>
  </w:endnote>
  <w:endnote w:type="continuationSeparator" w:id="0">
    <w:p w:rsidR="00C827AB" w:rsidRDefault="00C827AB" w:rsidP="00C8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5616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827AB" w:rsidRPr="00C827AB" w:rsidRDefault="00A62785">
        <w:pPr>
          <w:pStyle w:val="llb"/>
          <w:jc w:val="center"/>
          <w:rPr>
            <w:rFonts w:ascii="Times New Roman" w:hAnsi="Times New Roman"/>
            <w:sz w:val="24"/>
            <w:szCs w:val="24"/>
          </w:rPr>
        </w:pPr>
        <w:r w:rsidRPr="00C827AB">
          <w:rPr>
            <w:rFonts w:ascii="Times New Roman" w:hAnsi="Times New Roman"/>
            <w:sz w:val="24"/>
            <w:szCs w:val="24"/>
          </w:rPr>
          <w:fldChar w:fldCharType="begin"/>
        </w:r>
        <w:r w:rsidR="00C827AB" w:rsidRPr="00C827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827AB">
          <w:rPr>
            <w:rFonts w:ascii="Times New Roman" w:hAnsi="Times New Roman"/>
            <w:sz w:val="24"/>
            <w:szCs w:val="24"/>
          </w:rPr>
          <w:fldChar w:fldCharType="separate"/>
        </w:r>
        <w:r w:rsidR="002B573C">
          <w:rPr>
            <w:rFonts w:ascii="Times New Roman" w:hAnsi="Times New Roman"/>
            <w:noProof/>
            <w:sz w:val="24"/>
            <w:szCs w:val="24"/>
          </w:rPr>
          <w:t>3</w:t>
        </w:r>
        <w:r w:rsidRPr="00C827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827AB" w:rsidRDefault="00C827A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7AB" w:rsidRDefault="00C827AB" w:rsidP="00C827AB">
      <w:pPr>
        <w:spacing w:after="0" w:line="240" w:lineRule="auto"/>
      </w:pPr>
      <w:r>
        <w:separator/>
      </w:r>
    </w:p>
  </w:footnote>
  <w:footnote w:type="continuationSeparator" w:id="0">
    <w:p w:rsidR="00C827AB" w:rsidRDefault="00C827AB" w:rsidP="00C8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DB0" w:rsidRDefault="00077DB0" w:rsidP="00077DB0">
    <w:pPr>
      <w:pStyle w:val="lfej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66698"/>
    <w:multiLevelType w:val="hybridMultilevel"/>
    <w:tmpl w:val="5540D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006C1"/>
    <w:rsid w:val="00005064"/>
    <w:rsid w:val="00016A11"/>
    <w:rsid w:val="000340B2"/>
    <w:rsid w:val="000719E6"/>
    <w:rsid w:val="00077DB0"/>
    <w:rsid w:val="000D0E76"/>
    <w:rsid w:val="000E4B20"/>
    <w:rsid w:val="000F5621"/>
    <w:rsid w:val="00107918"/>
    <w:rsid w:val="00107FE1"/>
    <w:rsid w:val="00117225"/>
    <w:rsid w:val="001545DD"/>
    <w:rsid w:val="001A1812"/>
    <w:rsid w:val="001F7CA1"/>
    <w:rsid w:val="00214735"/>
    <w:rsid w:val="00225AAE"/>
    <w:rsid w:val="002270BA"/>
    <w:rsid w:val="0023493B"/>
    <w:rsid w:val="002360D0"/>
    <w:rsid w:val="002601AD"/>
    <w:rsid w:val="002764CD"/>
    <w:rsid w:val="002A5C90"/>
    <w:rsid w:val="002B573C"/>
    <w:rsid w:val="003006C1"/>
    <w:rsid w:val="003056C7"/>
    <w:rsid w:val="0033777C"/>
    <w:rsid w:val="00374475"/>
    <w:rsid w:val="003A5241"/>
    <w:rsid w:val="003C60EB"/>
    <w:rsid w:val="004300B3"/>
    <w:rsid w:val="00450853"/>
    <w:rsid w:val="00455953"/>
    <w:rsid w:val="0046787E"/>
    <w:rsid w:val="004C786D"/>
    <w:rsid w:val="00502C71"/>
    <w:rsid w:val="00533CF6"/>
    <w:rsid w:val="00550A6A"/>
    <w:rsid w:val="00554731"/>
    <w:rsid w:val="00587BAB"/>
    <w:rsid w:val="005B0448"/>
    <w:rsid w:val="00605258"/>
    <w:rsid w:val="00613243"/>
    <w:rsid w:val="0061718C"/>
    <w:rsid w:val="00626A85"/>
    <w:rsid w:val="006461C9"/>
    <w:rsid w:val="006B2964"/>
    <w:rsid w:val="006D63E0"/>
    <w:rsid w:val="006E360D"/>
    <w:rsid w:val="007123C0"/>
    <w:rsid w:val="00713961"/>
    <w:rsid w:val="00720DF5"/>
    <w:rsid w:val="007732C1"/>
    <w:rsid w:val="007A4A58"/>
    <w:rsid w:val="008031A1"/>
    <w:rsid w:val="00815F9E"/>
    <w:rsid w:val="00865A53"/>
    <w:rsid w:val="00872B2C"/>
    <w:rsid w:val="008D6C36"/>
    <w:rsid w:val="008E1242"/>
    <w:rsid w:val="008E797A"/>
    <w:rsid w:val="008F6062"/>
    <w:rsid w:val="00977789"/>
    <w:rsid w:val="009941BC"/>
    <w:rsid w:val="009B0899"/>
    <w:rsid w:val="00A62785"/>
    <w:rsid w:val="00AA0311"/>
    <w:rsid w:val="00AA1725"/>
    <w:rsid w:val="00AC16C5"/>
    <w:rsid w:val="00AE1F78"/>
    <w:rsid w:val="00AE6424"/>
    <w:rsid w:val="00B01C2E"/>
    <w:rsid w:val="00B3306D"/>
    <w:rsid w:val="00B3333A"/>
    <w:rsid w:val="00B47E14"/>
    <w:rsid w:val="00B52274"/>
    <w:rsid w:val="00B52552"/>
    <w:rsid w:val="00B911AE"/>
    <w:rsid w:val="00C137A3"/>
    <w:rsid w:val="00C6455A"/>
    <w:rsid w:val="00C827AB"/>
    <w:rsid w:val="00CD6E77"/>
    <w:rsid w:val="00CD7ADF"/>
    <w:rsid w:val="00CE58E9"/>
    <w:rsid w:val="00CF3AC3"/>
    <w:rsid w:val="00D24B20"/>
    <w:rsid w:val="00D3087D"/>
    <w:rsid w:val="00D71E30"/>
    <w:rsid w:val="00DF6789"/>
    <w:rsid w:val="00E01B38"/>
    <w:rsid w:val="00E244F1"/>
    <w:rsid w:val="00E33A4E"/>
    <w:rsid w:val="00E64724"/>
    <w:rsid w:val="00E77289"/>
    <w:rsid w:val="00ED117F"/>
    <w:rsid w:val="00EE0A5C"/>
    <w:rsid w:val="00F24C4D"/>
    <w:rsid w:val="00F40A45"/>
    <w:rsid w:val="00FA216B"/>
    <w:rsid w:val="00FD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085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506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82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27A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C82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27AB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7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79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Cs.K.</dc:creator>
  <cp:lastModifiedBy>Kis_Agnes</cp:lastModifiedBy>
  <cp:revision>4</cp:revision>
  <cp:lastPrinted>2020-06-10T11:23:00Z</cp:lastPrinted>
  <dcterms:created xsi:type="dcterms:W3CDTF">2020-07-03T07:48:00Z</dcterms:created>
  <dcterms:modified xsi:type="dcterms:W3CDTF">2020-07-03T07:49:00Z</dcterms:modified>
</cp:coreProperties>
</file>