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4" w:rsidRDefault="000C64C4" w:rsidP="000C64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0C64C4" w:rsidRDefault="000C64C4" w:rsidP="000C64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0C64C4" w:rsidRDefault="000C64C4" w:rsidP="000C64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Hajdúsámson Város Önkormányzata Képviselő-testületének </w:t>
      </w:r>
    </w:p>
    <w:p w:rsidR="000C64C4" w:rsidRDefault="000C64C4" w:rsidP="000C64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Hajdúsámson Város Önkormányzata Képviselő-testülete Szervezeti és Működési Szabályzatáról szóló 1/2016. (I. 29.) önkormányzati rendelet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módosításáról szóló 20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/2019. (X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I. 13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0C64C4" w:rsidRDefault="000C64C4" w:rsidP="000C64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C64C4" w:rsidRDefault="000C64C4" w:rsidP="000C64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C64C4" w:rsidRDefault="000C64C4" w:rsidP="000C64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64C4" w:rsidRPr="00475457" w:rsidRDefault="000C64C4" w:rsidP="000C64C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>Általános indokolás:</w:t>
      </w:r>
    </w:p>
    <w:p w:rsidR="000C64C4" w:rsidRPr="00475457" w:rsidRDefault="000C64C4" w:rsidP="000C64C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C64C4" w:rsidRPr="00F60FEE" w:rsidRDefault="000C64C4" w:rsidP="000C64C4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60FEE">
        <w:rPr>
          <w:rFonts w:ascii="Arial" w:hAnsi="Arial" w:cs="Arial"/>
          <w:bCs/>
          <w:color w:val="000000"/>
          <w:sz w:val="20"/>
          <w:szCs w:val="20"/>
        </w:rPr>
        <w:t xml:space="preserve">Az </w:t>
      </w:r>
      <w:proofErr w:type="spellStart"/>
      <w:r w:rsidRPr="00F60FEE">
        <w:rPr>
          <w:rFonts w:ascii="Arial" w:hAnsi="Arial" w:cs="Arial"/>
          <w:bCs/>
          <w:color w:val="000000"/>
          <w:sz w:val="20"/>
          <w:szCs w:val="20"/>
        </w:rPr>
        <w:t>Mötv</w:t>
      </w:r>
      <w:proofErr w:type="spellEnd"/>
      <w:r w:rsidRPr="00F60FEE">
        <w:rPr>
          <w:rFonts w:ascii="Arial" w:hAnsi="Arial" w:cs="Arial"/>
          <w:bCs/>
          <w:color w:val="000000"/>
          <w:sz w:val="20"/>
          <w:szCs w:val="20"/>
        </w:rPr>
        <w:t xml:space="preserve">. 43. § (3) bekezdése alapján </w:t>
      </w:r>
      <w:r w:rsidRPr="00F60FEE">
        <w:rPr>
          <w:rFonts w:ascii="Arial" w:hAnsi="Arial" w:cs="Arial"/>
          <w:color w:val="000000"/>
          <w:sz w:val="20"/>
          <w:szCs w:val="20"/>
        </w:rPr>
        <w:t>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:rsidR="000C64C4" w:rsidRPr="00475457" w:rsidRDefault="000C64C4" w:rsidP="000C64C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C64C4" w:rsidRPr="00475457" w:rsidRDefault="000C64C4" w:rsidP="000C64C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>Részletes indokolás</w:t>
      </w: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0C64C4" w:rsidRDefault="000C64C4" w:rsidP="000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C64C4" w:rsidRPr="00895E66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95E66">
        <w:rPr>
          <w:rFonts w:ascii="Arial" w:hAnsi="Arial" w:cs="Arial"/>
          <w:bCs/>
          <w:color w:val="000000"/>
          <w:sz w:val="20"/>
          <w:szCs w:val="20"/>
        </w:rPr>
        <w:t xml:space="preserve">Az </w:t>
      </w:r>
      <w:proofErr w:type="spellStart"/>
      <w:r w:rsidRPr="00895E66">
        <w:rPr>
          <w:rFonts w:ascii="Arial" w:hAnsi="Arial" w:cs="Arial"/>
          <w:bCs/>
          <w:color w:val="000000"/>
          <w:sz w:val="20"/>
          <w:szCs w:val="20"/>
        </w:rPr>
        <w:t>Mötv</w:t>
      </w:r>
      <w:proofErr w:type="spellEnd"/>
      <w:r w:rsidRPr="00895E66">
        <w:rPr>
          <w:rFonts w:ascii="Arial" w:hAnsi="Arial" w:cs="Arial"/>
          <w:bCs/>
          <w:color w:val="000000"/>
          <w:sz w:val="20"/>
          <w:szCs w:val="20"/>
        </w:rPr>
        <w:t>. 35. 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alapján a</w:t>
      </w:r>
      <w:r w:rsidRPr="00895E66">
        <w:rPr>
          <w:rFonts w:ascii="Arial" w:hAnsi="Arial" w:cs="Arial"/>
          <w:color w:val="000000"/>
          <w:sz w:val="20"/>
          <w:szCs w:val="20"/>
        </w:rPr>
        <w:t xml:space="preserve"> képviselő-testület az önkormányzati képviselőnek, a bizottsági elnöknek, a bizottság tagjának, a tanácsnoknak rendeletében meghatározott tiszteletdíjat, természetbeni juttatást állapíthat meg.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95E66">
        <w:rPr>
          <w:rFonts w:ascii="Arial" w:hAnsi="Arial" w:cs="Arial"/>
          <w:color w:val="000000"/>
          <w:sz w:val="20"/>
          <w:szCs w:val="20"/>
        </w:rPr>
        <w:t>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0C64C4" w:rsidRPr="00895E66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95E66">
        <w:rPr>
          <w:rFonts w:ascii="Arial" w:hAnsi="Arial" w:cs="Arial"/>
          <w:color w:val="000000"/>
          <w:sz w:val="20"/>
          <w:szCs w:val="20"/>
        </w:rPr>
        <w:t>Az önkormányzati képviselő tiszteletdíja és egyéb juttatása közérdekből nyilvános adat.</w:t>
      </w: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2.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5E66">
        <w:rPr>
          <w:rFonts w:ascii="Arial" w:hAnsi="Arial" w:cs="Arial"/>
          <w:bCs/>
          <w:color w:val="000000"/>
          <w:sz w:val="20"/>
          <w:szCs w:val="20"/>
        </w:rPr>
        <w:t xml:space="preserve">Az </w:t>
      </w:r>
      <w:proofErr w:type="spellStart"/>
      <w:r w:rsidRPr="00895E66">
        <w:rPr>
          <w:rFonts w:ascii="Arial" w:hAnsi="Arial" w:cs="Arial"/>
          <w:bCs/>
          <w:color w:val="000000"/>
          <w:sz w:val="20"/>
          <w:szCs w:val="20"/>
        </w:rPr>
        <w:t>Mötv</w:t>
      </w:r>
      <w:proofErr w:type="spellEnd"/>
      <w:r w:rsidRPr="00895E66">
        <w:rPr>
          <w:rFonts w:ascii="Arial" w:hAnsi="Arial" w:cs="Arial"/>
          <w:bCs/>
          <w:color w:val="000000"/>
          <w:sz w:val="20"/>
          <w:szCs w:val="20"/>
        </w:rPr>
        <w:t>. 34. §</w:t>
      </w:r>
      <w:proofErr w:type="spellStart"/>
      <w:r w:rsidRPr="00895E66">
        <w:rPr>
          <w:rFonts w:ascii="Arial" w:hAnsi="Arial" w:cs="Arial"/>
          <w:bCs/>
          <w:color w:val="000000"/>
          <w:sz w:val="20"/>
          <w:szCs w:val="20"/>
        </w:rPr>
        <w:t>-</w:t>
      </w:r>
      <w:proofErr w:type="gramStart"/>
      <w:r w:rsidRPr="00895E66">
        <w:rPr>
          <w:rFonts w:ascii="Arial" w:hAnsi="Arial" w:cs="Arial"/>
          <w:bCs/>
          <w:color w:val="000000"/>
          <w:sz w:val="20"/>
          <w:szCs w:val="20"/>
        </w:rPr>
        <w:t>a</w:t>
      </w:r>
      <w:proofErr w:type="spellEnd"/>
      <w:proofErr w:type="gramEnd"/>
      <w:r w:rsidRPr="00895E66">
        <w:rPr>
          <w:rFonts w:ascii="Arial" w:hAnsi="Arial" w:cs="Arial"/>
          <w:bCs/>
          <w:color w:val="000000"/>
          <w:sz w:val="20"/>
          <w:szCs w:val="20"/>
        </w:rPr>
        <w:t xml:space="preserve"> alapján</w:t>
      </w:r>
      <w:r w:rsidRPr="00895E66">
        <w:rPr>
          <w:rFonts w:ascii="Arial" w:hAnsi="Arial" w:cs="Arial"/>
          <w:color w:val="000000"/>
          <w:sz w:val="20"/>
          <w:szCs w:val="20"/>
        </w:rPr>
        <w:t> a képviselő-testület a polgármesternek vagy bármely önkormányzati képviselőnek a javaslatára az önkormányzati képviselők közül tanácsnokokat választhat. A tanácsnok felügyeli a képviselő-testület által meghatározott önkormányzati feladatkörök ellátását.</w:t>
      </w:r>
    </w:p>
    <w:p w:rsidR="000C64C4" w:rsidRPr="00895E66" w:rsidRDefault="000C64C4" w:rsidP="000C64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Mötv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35. 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szerint, h</w:t>
      </w:r>
      <w:r w:rsidRPr="00895E66">
        <w:rPr>
          <w:rFonts w:ascii="Arial" w:hAnsi="Arial" w:cs="Arial"/>
          <w:color w:val="000000"/>
          <w:sz w:val="20"/>
          <w:szCs w:val="20"/>
        </w:rPr>
        <w:t>a az önkormányzati képviselő tanácsnok, önkormányzati bizottság elnöke vagy tagja, számára magasabb összegű tiszteletdíj is megállapítható.</w:t>
      </w:r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Default="000C64C4" w:rsidP="000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3.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0C64C4" w:rsidRDefault="000C64C4" w:rsidP="000C64C4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C64C4" w:rsidRPr="00BE1892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Az önkormányzati működésben a képviselő-testület mellett, a képviselő-testület szervei is fontos szerepet játszanak. Az egyik ilyen szerv a bizottság. 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 A bizottság tagjává nem önkormányzati képviselő tag is választható. A nem önkormányzati képviselő tag jogai és kötelezettségei a bizottság ülésein megegyeznek az önkormányzati képviselő bizottsági tag jogaival és kötelezettségeivel.</w:t>
      </w:r>
    </w:p>
    <w:p w:rsidR="000C64C4" w:rsidRPr="00BE1892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 képviselő-testület a kétezernél több lakosú településen pénzügyi bizottságot hoz létre. A vagyonnyilatkozatok vizsgálatát a szervezeti és működési szabályzatban meghatározott bizottság végzi, mely gondoskodik azok nyilvántartásáról, kezeléséről és őrzéséről. Törvény más bizottság megalakítását is elrendelheti, amelynek feladat- és hatáskört állapíthat meg (pl. köznevelési tárgyú ágazati jogszabályok, stb.).</w:t>
      </w:r>
    </w:p>
    <w:p w:rsidR="000C64C4" w:rsidRPr="00BE1892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 bizottság elnökének és tagjainak megbízatása a képviselő-testület által történő megválasztással jön létre, a képviselő-testület megbízatásának időtartamára. A bizottság elnökét és – az elnökkel együtt számított – tagjainak több mint a felét az önkormányzati képviselők közül kell választani. Nem lehet a bizottság elnöke vagy tagja a polgármester.</w:t>
      </w:r>
    </w:p>
    <w:p w:rsidR="000C64C4" w:rsidRPr="00BE1892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 képviselő-testület a bizottság személyi összetételét, létszámát a polgármester előterjesztésére bármikor megváltoztathatja, a kötelezően létr</w:t>
      </w:r>
      <w:bookmarkStart w:id="0" w:name="_GoBack"/>
      <w:bookmarkEnd w:id="0"/>
      <w:r w:rsidRPr="00BE1892">
        <w:rPr>
          <w:rFonts w:ascii="Arial" w:hAnsi="Arial" w:cs="Arial"/>
          <w:color w:val="000000"/>
          <w:sz w:val="20"/>
          <w:szCs w:val="20"/>
        </w:rPr>
        <w:t xml:space="preserve">ehozandó bizottság kivételével a bizottságot </w:t>
      </w:r>
      <w:r w:rsidRPr="00BE1892">
        <w:rPr>
          <w:rFonts w:ascii="Arial" w:hAnsi="Arial" w:cs="Arial"/>
          <w:color w:val="000000"/>
          <w:sz w:val="20"/>
          <w:szCs w:val="20"/>
        </w:rPr>
        <w:lastRenderedPageBreak/>
        <w:t>megszüntetheti.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E1892">
        <w:rPr>
          <w:rFonts w:ascii="Arial" w:hAnsi="Arial" w:cs="Arial"/>
          <w:color w:val="000000"/>
          <w:sz w:val="20"/>
          <w:szCs w:val="20"/>
        </w:rPr>
        <w:t>A bizottság – feladatkörében – kezdeményezi, előkészíti a képviselő-testület döntéseit, a képviselő-testület által átruházott hatáskörben döntést hoz.</w:t>
      </w:r>
    </w:p>
    <w:p w:rsidR="000C64C4" w:rsidRPr="00BE1892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 képviselő-testület a szervezeti és működési szabályzatában határozza meg azokat az előterjesztéseket, amelyeket bizottság nyújt be, továbbá amely előterjesztések a bizottság állásfoglalásával nyújthatók be a képviselő-testületnek.</w:t>
      </w:r>
    </w:p>
    <w:p w:rsidR="000C64C4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1892">
        <w:rPr>
          <w:rFonts w:ascii="Arial" w:hAnsi="Arial" w:cs="Arial"/>
          <w:color w:val="000000"/>
          <w:sz w:val="20"/>
          <w:szCs w:val="20"/>
        </w:rPr>
        <w:t>A képviselő-testület dönt</w:t>
      </w:r>
      <w:r>
        <w:rPr>
          <w:rFonts w:ascii="Arial" w:hAnsi="Arial" w:cs="Arial"/>
          <w:color w:val="000000"/>
          <w:sz w:val="20"/>
          <w:szCs w:val="20"/>
        </w:rPr>
        <w:t xml:space="preserve">ési jogot adhat bizottságának, </w:t>
      </w:r>
      <w:r w:rsidRPr="00BE1892">
        <w:rPr>
          <w:rFonts w:ascii="Arial" w:hAnsi="Arial" w:cs="Arial"/>
          <w:color w:val="000000"/>
          <w:sz w:val="20"/>
          <w:szCs w:val="20"/>
        </w:rPr>
        <w:t>melyet bármikor visszavonhat.</w:t>
      </w:r>
    </w:p>
    <w:p w:rsidR="000C64C4" w:rsidRDefault="000C64C4" w:rsidP="000C64C4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C64C4" w:rsidRPr="00DA0066" w:rsidRDefault="000C64C4" w:rsidP="000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0066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4</w:t>
      </w:r>
      <w:r w:rsidRPr="00DA0066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DA0066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0C64C4" w:rsidRDefault="000C64C4" w:rsidP="000C64C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64C4" w:rsidRPr="00BE1892" w:rsidRDefault="000C64C4" w:rsidP="000C64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0C64C4" w:rsidRDefault="000C64C4" w:rsidP="000C64C4">
      <w:pPr>
        <w:spacing w:after="0" w:line="240" w:lineRule="auto"/>
        <w:jc w:val="center"/>
      </w:pPr>
    </w:p>
    <w:p w:rsidR="00D74B8A" w:rsidRDefault="00D74B8A"/>
    <w:sectPr w:rsidR="00D74B8A" w:rsidSect="000C64C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4"/>
    <w:rsid w:val="000C64C4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4C4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C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4C4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C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2019-11-19T09:31:00Z</dcterms:created>
  <dcterms:modified xsi:type="dcterms:W3CDTF">2019-11-19T09:34:00Z</dcterms:modified>
</cp:coreProperties>
</file>