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4DC45" w14:textId="77777777" w:rsidR="0010383A" w:rsidRPr="00B52360" w:rsidRDefault="0010383A" w:rsidP="0010383A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INDOKOLÁS</w:t>
      </w:r>
    </w:p>
    <w:p w14:paraId="114330C4" w14:textId="77777777" w:rsidR="0010383A" w:rsidRPr="00B52360" w:rsidRDefault="0010383A" w:rsidP="0010383A">
      <w:pPr>
        <w:pStyle w:val="Nincstrkz"/>
        <w:jc w:val="center"/>
        <w:rPr>
          <w:b/>
          <w:bCs/>
          <w:sz w:val="22"/>
        </w:rPr>
      </w:pPr>
    </w:p>
    <w:p w14:paraId="59B27FAE" w14:textId="77777777" w:rsidR="0010383A" w:rsidRDefault="0010383A" w:rsidP="0010383A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Harsány Község Önkormányzat Képviselő-testületének</w:t>
      </w:r>
    </w:p>
    <w:p w14:paraId="2FD9240F" w14:textId="77777777" w:rsidR="0010383A" w:rsidRPr="00B52360" w:rsidRDefault="0010383A" w:rsidP="0010383A">
      <w:pPr>
        <w:suppressAutoHyphens/>
        <w:spacing w:after="0" w:line="240" w:lineRule="auto"/>
        <w:jc w:val="center"/>
        <w:rPr>
          <w:rFonts w:eastAsia="Garamond" w:cs="Garamond"/>
          <w:b/>
          <w:bCs/>
          <w:color w:val="000000"/>
          <w:sz w:val="22"/>
          <w:lang w:eastAsia="hu-HU"/>
        </w:rPr>
      </w:pPr>
      <w:r>
        <w:rPr>
          <w:rFonts w:eastAsia="Garamond" w:cs="Garamond"/>
          <w:b/>
          <w:bCs/>
          <w:sz w:val="22"/>
          <w:lang w:eastAsia="zh-CN"/>
        </w:rPr>
        <w:t>20</w:t>
      </w:r>
      <w:r w:rsidRPr="00B52360">
        <w:rPr>
          <w:rFonts w:eastAsia="Garamond" w:cs="Garamond"/>
          <w:b/>
          <w:bCs/>
          <w:sz w:val="22"/>
          <w:lang w:eastAsia="zh-CN"/>
        </w:rPr>
        <w:t>/2020. (</w:t>
      </w:r>
      <w:r>
        <w:rPr>
          <w:rFonts w:eastAsia="Garamond" w:cs="Garamond"/>
          <w:b/>
          <w:bCs/>
          <w:sz w:val="22"/>
          <w:lang w:eastAsia="zh-CN"/>
        </w:rPr>
        <w:t>XII</w:t>
      </w:r>
      <w:r w:rsidRPr="00B52360">
        <w:rPr>
          <w:rFonts w:eastAsia="Garamond" w:cs="Garamond"/>
          <w:b/>
          <w:bCs/>
          <w:sz w:val="22"/>
          <w:lang w:eastAsia="zh-CN"/>
        </w:rPr>
        <w:t>.</w:t>
      </w:r>
      <w:r>
        <w:rPr>
          <w:rFonts w:eastAsia="Garamond" w:cs="Garamond"/>
          <w:b/>
          <w:bCs/>
          <w:sz w:val="22"/>
          <w:lang w:eastAsia="zh-CN"/>
        </w:rPr>
        <w:t xml:space="preserve"> 08</w:t>
      </w:r>
      <w:r w:rsidRPr="00B52360">
        <w:rPr>
          <w:rFonts w:eastAsia="Garamond" w:cs="Garamond"/>
          <w:b/>
          <w:bCs/>
          <w:sz w:val="22"/>
          <w:lang w:eastAsia="zh-CN"/>
        </w:rPr>
        <w:t>.) önkormányzati rendelete</w:t>
      </w:r>
    </w:p>
    <w:p w14:paraId="384911DE" w14:textId="77777777" w:rsidR="0010383A" w:rsidRDefault="0010383A" w:rsidP="0010383A">
      <w:pPr>
        <w:spacing w:after="0" w:line="240" w:lineRule="auto"/>
        <w:jc w:val="center"/>
        <w:rPr>
          <w:rFonts w:eastAsia="Garamond"/>
          <w:b/>
          <w:bCs/>
          <w:sz w:val="22"/>
        </w:rPr>
      </w:pPr>
      <w:r w:rsidRPr="00AB55C8">
        <w:rPr>
          <w:rFonts w:eastAsia="Garamond"/>
          <w:b/>
          <w:bCs/>
          <w:sz w:val="22"/>
        </w:rPr>
        <w:t xml:space="preserve">a szociális rászorultságtól függő pénzbeli és természetbeni ellátásokról szóló  </w:t>
      </w:r>
    </w:p>
    <w:p w14:paraId="663F30E3" w14:textId="77777777" w:rsidR="0010383A" w:rsidRDefault="0010383A" w:rsidP="0010383A">
      <w:pPr>
        <w:spacing w:after="0" w:line="240" w:lineRule="auto"/>
        <w:jc w:val="center"/>
        <w:rPr>
          <w:b/>
          <w:bCs/>
          <w:sz w:val="22"/>
          <w:lang w:eastAsia="hu-HU"/>
        </w:rPr>
      </w:pPr>
      <w:r w:rsidRPr="00AB55C8">
        <w:rPr>
          <w:rFonts w:eastAsia="Garamond"/>
          <w:b/>
          <w:bCs/>
          <w:sz w:val="22"/>
        </w:rPr>
        <w:t>2/2015. (II.20.) önkormányzati rendelet</w:t>
      </w:r>
    </w:p>
    <w:p w14:paraId="214359FF" w14:textId="77777777" w:rsidR="0010383A" w:rsidRPr="00B52360" w:rsidRDefault="0010383A" w:rsidP="0010383A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2FE043D6" w14:textId="77777777" w:rsidR="0010383A" w:rsidRPr="00B52360" w:rsidRDefault="0010383A" w:rsidP="0010383A">
      <w:pPr>
        <w:pStyle w:val="Nincstrkz"/>
        <w:jc w:val="both"/>
        <w:rPr>
          <w:b/>
          <w:bCs/>
          <w:sz w:val="22"/>
        </w:rPr>
      </w:pPr>
      <w:r w:rsidRPr="00B52360">
        <w:rPr>
          <w:b/>
          <w:bCs/>
          <w:sz w:val="22"/>
        </w:rPr>
        <w:t>Általános indokolás</w:t>
      </w:r>
    </w:p>
    <w:p w14:paraId="4997250F" w14:textId="77777777" w:rsidR="0010383A" w:rsidRPr="00B52360" w:rsidRDefault="0010383A" w:rsidP="0010383A">
      <w:pPr>
        <w:pStyle w:val="Nincstrkz"/>
        <w:jc w:val="both"/>
        <w:rPr>
          <w:sz w:val="22"/>
        </w:rPr>
      </w:pPr>
    </w:p>
    <w:p w14:paraId="467592C1" w14:textId="77777777" w:rsidR="0010383A" w:rsidRPr="00B52360" w:rsidRDefault="0010383A" w:rsidP="0010383A">
      <w:pPr>
        <w:pStyle w:val="Nincstrkz"/>
        <w:jc w:val="both"/>
        <w:rPr>
          <w:sz w:val="22"/>
        </w:rPr>
      </w:pPr>
      <w:r w:rsidRPr="00B52360">
        <w:rPr>
          <w:sz w:val="22"/>
        </w:rPr>
        <w:t>Magyarország Alaptörvénye 32.cikk (1) bekezdés a) pontja szerinti felhatalmazás alapján önkormányzati rendeletet alkot.</w:t>
      </w:r>
    </w:p>
    <w:p w14:paraId="278BDBF1" w14:textId="77777777" w:rsidR="0010383A" w:rsidRPr="00B52360" w:rsidRDefault="0010383A" w:rsidP="0010383A">
      <w:pPr>
        <w:pStyle w:val="Nincstrkz"/>
        <w:jc w:val="both"/>
        <w:rPr>
          <w:sz w:val="22"/>
        </w:rPr>
      </w:pPr>
      <w:r w:rsidRPr="00B52360">
        <w:rPr>
          <w:sz w:val="22"/>
        </w:rPr>
        <w:t xml:space="preserve">A rendelet-tervezethez a jogalkotásról szóló 2010. évi CXXX. tv (továbbiakban: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>. 17.§ (1) bekezdése alapján.</w:t>
      </w:r>
    </w:p>
    <w:p w14:paraId="3B81809F" w14:textId="77777777" w:rsidR="0010383A" w:rsidRDefault="0010383A" w:rsidP="0010383A">
      <w:pPr>
        <w:pStyle w:val="Nincstrkz"/>
        <w:rPr>
          <w:sz w:val="22"/>
          <w:lang w:eastAsia="zh-CN"/>
        </w:rPr>
      </w:pPr>
    </w:p>
    <w:p w14:paraId="723025F5" w14:textId="77777777" w:rsidR="0010383A" w:rsidRDefault="0010383A" w:rsidP="0010383A">
      <w:pPr>
        <w:pStyle w:val="Nincstrkz"/>
        <w:rPr>
          <w:sz w:val="22"/>
          <w:lang w:eastAsia="zh-CN"/>
        </w:rPr>
      </w:pPr>
    </w:p>
    <w:p w14:paraId="3C2D0BCF" w14:textId="77777777" w:rsidR="0010383A" w:rsidRPr="00B52360" w:rsidRDefault="0010383A" w:rsidP="0010383A">
      <w:pPr>
        <w:pStyle w:val="Nincstrkz"/>
        <w:jc w:val="both"/>
        <w:rPr>
          <w:b/>
          <w:bCs/>
          <w:sz w:val="22"/>
        </w:rPr>
      </w:pPr>
      <w:bookmarkStart w:id="0" w:name="_Hlk531941968"/>
      <w:r w:rsidRPr="00B52360">
        <w:rPr>
          <w:b/>
          <w:bCs/>
          <w:sz w:val="22"/>
        </w:rPr>
        <w:t>Részletes indokolás</w:t>
      </w:r>
    </w:p>
    <w:bookmarkEnd w:id="0"/>
    <w:p w14:paraId="272ADBF1" w14:textId="77777777" w:rsidR="0010383A" w:rsidRDefault="0010383A" w:rsidP="0010383A">
      <w:pPr>
        <w:pStyle w:val="Nincstrkz"/>
        <w:rPr>
          <w:sz w:val="22"/>
          <w:lang w:eastAsia="zh-CN"/>
        </w:rPr>
      </w:pPr>
    </w:p>
    <w:p w14:paraId="32447AED" w14:textId="77777777" w:rsidR="0010383A" w:rsidRPr="008A4172" w:rsidRDefault="0010383A" w:rsidP="0010383A">
      <w:pPr>
        <w:spacing w:after="0" w:line="240" w:lineRule="auto"/>
        <w:rPr>
          <w:sz w:val="22"/>
        </w:rPr>
      </w:pPr>
      <w:r w:rsidRPr="00C373CB">
        <w:rPr>
          <w:b/>
          <w:bCs/>
          <w:sz w:val="22"/>
        </w:rPr>
        <w:t>1.§-hoz</w:t>
      </w:r>
      <w:r w:rsidRPr="00B52360">
        <w:rPr>
          <w:sz w:val="22"/>
        </w:rPr>
        <w:t xml:space="preserve"> </w:t>
      </w:r>
      <w:r>
        <w:rPr>
          <w:sz w:val="22"/>
        </w:rPr>
        <w:t>A támogatáshoz való jogosultság jövedelemi határát emeli fel.</w:t>
      </w:r>
    </w:p>
    <w:p w14:paraId="082CAFCA" w14:textId="77777777" w:rsidR="0010383A" w:rsidRDefault="0010383A" w:rsidP="0010383A">
      <w:pPr>
        <w:pStyle w:val="Nincstrkz"/>
        <w:jc w:val="both"/>
        <w:rPr>
          <w:sz w:val="22"/>
        </w:rPr>
      </w:pPr>
    </w:p>
    <w:p w14:paraId="35609C1E" w14:textId="77777777" w:rsidR="0010383A" w:rsidRDefault="0010383A" w:rsidP="0010383A">
      <w:pPr>
        <w:pStyle w:val="Nincstrkz"/>
        <w:jc w:val="both"/>
        <w:rPr>
          <w:sz w:val="22"/>
        </w:rPr>
      </w:pPr>
      <w:r>
        <w:rPr>
          <w:b/>
          <w:bCs/>
          <w:sz w:val="22"/>
        </w:rPr>
        <w:t>2</w:t>
      </w:r>
      <w:r w:rsidRPr="006D64B2">
        <w:rPr>
          <w:b/>
          <w:bCs/>
          <w:sz w:val="22"/>
        </w:rPr>
        <w:t>.§-hoz</w:t>
      </w:r>
      <w:r>
        <w:rPr>
          <w:sz w:val="22"/>
        </w:rPr>
        <w:t xml:space="preserve"> Hatályba léptető rendelkezést tartalmaz.</w:t>
      </w:r>
    </w:p>
    <w:p w14:paraId="56520C87" w14:textId="77777777" w:rsidR="0010383A" w:rsidRDefault="0010383A" w:rsidP="0010383A">
      <w:pPr>
        <w:pStyle w:val="Nincstrkz"/>
        <w:jc w:val="both"/>
        <w:rPr>
          <w:sz w:val="22"/>
        </w:rPr>
      </w:pPr>
    </w:p>
    <w:p w14:paraId="24B78AE2" w14:textId="77777777" w:rsidR="0010383A" w:rsidRPr="00B52360" w:rsidRDefault="0010383A" w:rsidP="0010383A">
      <w:pPr>
        <w:pStyle w:val="Nincstrkz"/>
        <w:jc w:val="both"/>
        <w:rPr>
          <w:sz w:val="22"/>
        </w:rPr>
      </w:pPr>
    </w:p>
    <w:p w14:paraId="3057D2E6" w14:textId="77777777" w:rsidR="0010383A" w:rsidRPr="00B52360" w:rsidRDefault="0010383A" w:rsidP="0010383A">
      <w:pPr>
        <w:pStyle w:val="Nincstrkz"/>
        <w:jc w:val="both"/>
        <w:rPr>
          <w:rFonts w:eastAsia="Times New Roman" w:cs="Times New Roman"/>
          <w:sz w:val="22"/>
          <w:lang w:eastAsia="zh-CN"/>
        </w:rPr>
      </w:pPr>
      <w:r w:rsidRPr="00B52360">
        <w:rPr>
          <w:sz w:val="22"/>
        </w:rPr>
        <w:t xml:space="preserve"> </w:t>
      </w:r>
      <w:r w:rsidRPr="00B52360">
        <w:rPr>
          <w:rFonts w:eastAsia="Times New Roman" w:cs="Times New Roman"/>
          <w:sz w:val="22"/>
          <w:lang w:eastAsia="zh-CN"/>
        </w:rPr>
        <w:t xml:space="preserve">Harsány, </w:t>
      </w:r>
      <w:r>
        <w:rPr>
          <w:rFonts w:eastAsia="Times New Roman" w:cs="Times New Roman"/>
          <w:sz w:val="22"/>
          <w:lang w:eastAsia="zh-CN"/>
        </w:rPr>
        <w:t>2020. december 8.</w:t>
      </w:r>
    </w:p>
    <w:p w14:paraId="34429061" w14:textId="77777777" w:rsidR="0010383A" w:rsidRPr="00B52360" w:rsidRDefault="0010383A" w:rsidP="0010383A">
      <w:pPr>
        <w:suppressAutoHyphens/>
        <w:spacing w:after="0" w:line="360" w:lineRule="auto"/>
        <w:rPr>
          <w:rFonts w:eastAsia="Times New Roman" w:cs="Times New Roman"/>
          <w:sz w:val="22"/>
          <w:lang w:eastAsia="zh-CN"/>
        </w:rPr>
      </w:pPr>
    </w:p>
    <w:p w14:paraId="78A9B65F" w14:textId="77777777" w:rsidR="0010383A" w:rsidRPr="00B52360" w:rsidRDefault="0010383A" w:rsidP="0010383A">
      <w:pPr>
        <w:pStyle w:val="Nincstrkz"/>
        <w:rPr>
          <w:sz w:val="22"/>
          <w:lang w:eastAsia="zh-CN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>dr. Kántor János</w:t>
      </w:r>
    </w:p>
    <w:p w14:paraId="21C65240" w14:textId="77777777" w:rsidR="0010383A" w:rsidRPr="00B52360" w:rsidRDefault="0010383A" w:rsidP="0010383A">
      <w:pPr>
        <w:pStyle w:val="Nincstrkz"/>
        <w:rPr>
          <w:rFonts w:cs="Times New Roman"/>
          <w:sz w:val="22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 xml:space="preserve">       jegyző</w:t>
      </w:r>
    </w:p>
    <w:p w14:paraId="504E1EEA" w14:textId="77777777" w:rsidR="0010383A" w:rsidRDefault="0010383A" w:rsidP="0010383A">
      <w:pPr>
        <w:pStyle w:val="Nincstrkz"/>
        <w:jc w:val="center"/>
      </w:pPr>
    </w:p>
    <w:p w14:paraId="10B543A1" w14:textId="77777777" w:rsidR="0010383A" w:rsidRDefault="0010383A"/>
    <w:sectPr w:rsidR="0010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A"/>
    <w:rsid w:val="001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58E"/>
  <w15:chartTrackingRefBased/>
  <w15:docId w15:val="{A0E4D412-32D2-43D7-B590-33D3C5FF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383A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0383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2020-12-10T08:36:00Z</dcterms:created>
  <dcterms:modified xsi:type="dcterms:W3CDTF">2020-12-10T08:37:00Z</dcterms:modified>
</cp:coreProperties>
</file>