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57" w:rsidRDefault="002B1B57" w:rsidP="002B1B57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Indokolás</w:t>
      </w:r>
    </w:p>
    <w:p w:rsidR="002B1B57" w:rsidRDefault="002B1B57" w:rsidP="002B1B57">
      <w:pPr>
        <w:jc w:val="center"/>
        <w:rPr>
          <w:bCs/>
          <w:color w:val="000000"/>
          <w:szCs w:val="24"/>
        </w:rPr>
      </w:pPr>
    </w:p>
    <w:p w:rsidR="002B1B57" w:rsidRPr="002C734E" w:rsidRDefault="002B1B57" w:rsidP="002B1B57">
      <w:pPr>
        <w:jc w:val="center"/>
        <w:rPr>
          <w:bCs/>
          <w:color w:val="000000"/>
          <w:szCs w:val="24"/>
        </w:rPr>
      </w:pPr>
      <w:r w:rsidRPr="00222F9F">
        <w:rPr>
          <w:bCs/>
          <w:color w:val="000000"/>
          <w:szCs w:val="24"/>
        </w:rPr>
        <w:t>1. §-hoz</w:t>
      </w:r>
    </w:p>
    <w:p w:rsidR="002B1B57" w:rsidRDefault="002B1B57" w:rsidP="002B1B57">
      <w:pPr>
        <w:jc w:val="center"/>
        <w:rPr>
          <w:bCs/>
          <w:color w:val="000000"/>
          <w:szCs w:val="24"/>
        </w:rPr>
      </w:pPr>
    </w:p>
    <w:p w:rsidR="002B1B57" w:rsidRPr="00222F9F" w:rsidRDefault="002B1B57" w:rsidP="002B1B57">
      <w:pPr>
        <w:jc w:val="both"/>
        <w:rPr>
          <w:bCs/>
          <w:color w:val="000000"/>
          <w:szCs w:val="24"/>
        </w:rPr>
      </w:pPr>
      <w:r w:rsidRPr="00BC2B95">
        <w:rPr>
          <w:szCs w:val="24"/>
          <w:lang w:eastAsia="hu-HU"/>
        </w:rPr>
        <w:t xml:space="preserve">A tömb </w:t>
      </w:r>
      <w:r>
        <w:rPr>
          <w:szCs w:val="24"/>
          <w:lang w:eastAsia="hu-HU"/>
        </w:rPr>
        <w:t>dél-</w:t>
      </w:r>
      <w:r w:rsidRPr="00BC2B95">
        <w:rPr>
          <w:szCs w:val="24"/>
          <w:lang w:eastAsia="hu-HU"/>
        </w:rPr>
        <w:t>keleti sarkán az intézményi funkciók dominálnak, a saroktelek beépítettsége a megengedettnél nagyobb, a telkeken a zöldfelület mértéke kisebb, mint a lakóterületre vonatkozó szabályozásban szereplő érték.  A</w:t>
      </w:r>
      <w:r>
        <w:rPr>
          <w:szCs w:val="24"/>
          <w:lang w:eastAsia="hu-HU"/>
        </w:rPr>
        <w:t xml:space="preserve">z </w:t>
      </w:r>
      <w:proofErr w:type="spellStart"/>
      <w:r>
        <w:rPr>
          <w:szCs w:val="24"/>
          <w:lang w:eastAsia="hu-HU"/>
        </w:rPr>
        <w:t>Integrity</w:t>
      </w:r>
      <w:proofErr w:type="spellEnd"/>
      <w:r>
        <w:rPr>
          <w:szCs w:val="24"/>
          <w:lang w:eastAsia="hu-HU"/>
        </w:rPr>
        <w:t xml:space="preserve"> </w:t>
      </w:r>
      <w:proofErr w:type="spellStart"/>
      <w:r>
        <w:rPr>
          <w:szCs w:val="24"/>
          <w:lang w:eastAsia="hu-HU"/>
        </w:rPr>
        <w:t>Magánklinka</w:t>
      </w:r>
      <w:proofErr w:type="spellEnd"/>
      <w:r>
        <w:rPr>
          <w:szCs w:val="24"/>
          <w:lang w:eastAsia="hu-HU"/>
        </w:rPr>
        <w:t xml:space="preserve"> </w:t>
      </w:r>
      <w:r w:rsidRPr="00BC2B95">
        <w:rPr>
          <w:szCs w:val="24"/>
          <w:lang w:eastAsia="hu-HU"/>
        </w:rPr>
        <w:t xml:space="preserve">tervezett </w:t>
      </w:r>
      <w:r>
        <w:rPr>
          <w:szCs w:val="24"/>
          <w:lang w:eastAsia="hu-HU"/>
        </w:rPr>
        <w:t xml:space="preserve">fejlesztése érdekében </w:t>
      </w:r>
      <w:r w:rsidRPr="00BC2B95">
        <w:rPr>
          <w:szCs w:val="24"/>
          <w:lang w:eastAsia="hu-HU"/>
        </w:rPr>
        <w:t>módosítás során</w:t>
      </w:r>
      <w:r>
        <w:rPr>
          <w:bCs/>
          <w:color w:val="000000"/>
          <w:szCs w:val="24"/>
        </w:rPr>
        <w:t xml:space="preserve"> </w:t>
      </w:r>
      <w:r w:rsidRPr="00BC2B95">
        <w:rPr>
          <w:szCs w:val="24"/>
          <w:lang w:eastAsia="hu-HU"/>
        </w:rPr>
        <w:t xml:space="preserve">a kialakítható legkisebb telekszélesség és terület </w:t>
      </w:r>
      <w:smartTag w:uri="urn:schemas-microsoft-com:office:smarttags" w:element="metricconverter">
        <w:smartTagPr>
          <w:attr w:name="ProductID" w:val="12 m"/>
        </w:smartTagPr>
        <w:r w:rsidRPr="00BC2B95">
          <w:rPr>
            <w:szCs w:val="24"/>
            <w:lang w:eastAsia="hu-HU"/>
          </w:rPr>
          <w:t>12 m</w:t>
        </w:r>
      </w:smartTag>
      <w:r w:rsidRPr="00BC2B95">
        <w:rPr>
          <w:szCs w:val="24"/>
          <w:lang w:eastAsia="hu-HU"/>
        </w:rPr>
        <w:t xml:space="preserve"> és 400 m2-ről </w:t>
      </w:r>
      <w:smartTag w:uri="urn:schemas-microsoft-com:office:smarttags" w:element="metricconverter">
        <w:smartTagPr>
          <w:attr w:name="ProductID" w:val="16 m"/>
        </w:smartTagPr>
        <w:r w:rsidRPr="00BC2B95">
          <w:rPr>
            <w:szCs w:val="24"/>
            <w:lang w:eastAsia="hu-HU"/>
          </w:rPr>
          <w:t>16 m</w:t>
        </w:r>
      </w:smartTag>
      <w:r w:rsidRPr="00BC2B95">
        <w:rPr>
          <w:szCs w:val="24"/>
          <w:lang w:eastAsia="hu-HU"/>
        </w:rPr>
        <w:t xml:space="preserve"> és 500 m2-re,</w:t>
      </w:r>
      <w:r>
        <w:rPr>
          <w:bCs/>
          <w:color w:val="000000"/>
          <w:szCs w:val="24"/>
        </w:rPr>
        <w:t xml:space="preserve"> </w:t>
      </w:r>
      <w:r w:rsidRPr="00BC2B95">
        <w:rPr>
          <w:rFonts w:eastAsia="Calibri"/>
          <w:szCs w:val="24"/>
          <w:lang w:eastAsia="hu-HU"/>
        </w:rPr>
        <w:t xml:space="preserve">a megengedett legnagyobb beépítettség a </w:t>
      </w:r>
      <w:smartTag w:uri="urn:schemas-microsoft-com:office:smarttags" w:element="metricconverter">
        <w:smartTagPr>
          <w:attr w:name="ProductID" w:val="400 m2"/>
        </w:smartTagPr>
        <w:r w:rsidRPr="00BC2B95">
          <w:rPr>
            <w:rFonts w:eastAsia="Calibri"/>
            <w:szCs w:val="24"/>
            <w:lang w:eastAsia="en-US"/>
          </w:rPr>
          <w:t>400 m2</w:t>
        </w:r>
      </w:smartTag>
      <w:r w:rsidRPr="00BC2B95">
        <w:rPr>
          <w:rFonts w:eastAsia="Calibri"/>
          <w:szCs w:val="24"/>
          <w:lang w:eastAsia="en-US"/>
        </w:rPr>
        <w:t xml:space="preserve"> telekterületig 50 %, </w:t>
      </w:r>
      <w:smartTag w:uri="urn:schemas-microsoft-com:office:smarttags" w:element="metricconverter">
        <w:smartTagPr>
          <w:attr w:name="ProductID" w:val="400 m2"/>
        </w:smartTagPr>
        <w:r w:rsidRPr="00BC2B95">
          <w:rPr>
            <w:rFonts w:eastAsia="Calibri"/>
            <w:szCs w:val="24"/>
            <w:lang w:eastAsia="en-US"/>
          </w:rPr>
          <w:t>400 m2</w:t>
        </w:r>
      </w:smartTag>
      <w:r w:rsidRPr="00BC2B95">
        <w:rPr>
          <w:rFonts w:eastAsia="Calibri"/>
          <w:szCs w:val="24"/>
          <w:lang w:eastAsia="en-US"/>
        </w:rPr>
        <w:t xml:space="preserve"> feletti telekterületre vetítetten 35 % (60 %) mértékéről 50%-</w:t>
      </w:r>
      <w:proofErr w:type="spellStart"/>
      <w:r w:rsidRPr="00BC2B95">
        <w:rPr>
          <w:rFonts w:eastAsia="Calibri"/>
          <w:szCs w:val="24"/>
          <w:lang w:eastAsia="en-US"/>
        </w:rPr>
        <w:t>ra</w:t>
      </w:r>
      <w:proofErr w:type="spellEnd"/>
      <w:r w:rsidRPr="00BC2B95">
        <w:rPr>
          <w:rFonts w:eastAsia="Calibri"/>
          <w:szCs w:val="24"/>
          <w:lang w:eastAsia="en-US"/>
        </w:rPr>
        <w:t>, saroktelek esetében 75%-</w:t>
      </w:r>
      <w:proofErr w:type="spellStart"/>
      <w:r w:rsidRPr="00BC2B95">
        <w:rPr>
          <w:rFonts w:eastAsia="Calibri"/>
          <w:szCs w:val="24"/>
          <w:lang w:eastAsia="en-US"/>
        </w:rPr>
        <w:t>ra</w:t>
      </w:r>
      <w:proofErr w:type="spellEnd"/>
      <w:r w:rsidRPr="00BC2B95">
        <w:rPr>
          <w:rFonts w:eastAsia="Calibri"/>
          <w:szCs w:val="24"/>
          <w:lang w:eastAsia="en-US"/>
        </w:rPr>
        <w:t>,</w:t>
      </w:r>
      <w:r>
        <w:rPr>
          <w:bCs/>
          <w:color w:val="000000"/>
          <w:szCs w:val="24"/>
        </w:rPr>
        <w:t xml:space="preserve"> </w:t>
      </w:r>
      <w:r w:rsidRPr="00BC2B95">
        <w:rPr>
          <w:rFonts w:eastAsia="Calibri"/>
          <w:szCs w:val="24"/>
          <w:lang w:eastAsia="en-US"/>
        </w:rPr>
        <w:t>a kialakítható legkisebb zöldfelület 20%-</w:t>
      </w:r>
      <w:proofErr w:type="spellStart"/>
      <w:r w:rsidRPr="00BC2B95">
        <w:rPr>
          <w:rFonts w:eastAsia="Calibri"/>
          <w:szCs w:val="24"/>
          <w:lang w:eastAsia="en-US"/>
        </w:rPr>
        <w:t>ról</w:t>
      </w:r>
      <w:proofErr w:type="spellEnd"/>
      <w:r w:rsidRPr="00BC2B95">
        <w:rPr>
          <w:rFonts w:eastAsia="Calibri"/>
          <w:szCs w:val="24"/>
          <w:lang w:eastAsia="en-US"/>
        </w:rPr>
        <w:t xml:space="preserve"> 10%-</w:t>
      </w:r>
      <w:proofErr w:type="spellStart"/>
      <w:r w:rsidRPr="00BC2B95">
        <w:rPr>
          <w:rFonts w:eastAsia="Calibri"/>
          <w:szCs w:val="24"/>
          <w:lang w:eastAsia="en-US"/>
        </w:rPr>
        <w:t>ra</w:t>
      </w:r>
      <w:proofErr w:type="spellEnd"/>
      <w:r w:rsidRPr="00BC2B95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módosul. A</w:t>
      </w:r>
      <w:r w:rsidRPr="000619E7">
        <w:rPr>
          <w:szCs w:val="24"/>
          <w:lang w:eastAsia="hu-HU"/>
        </w:rPr>
        <w:t xml:space="preserve"> </w:t>
      </w:r>
      <w:r w:rsidRPr="00BC2B95">
        <w:rPr>
          <w:szCs w:val="24"/>
          <w:lang w:eastAsia="hu-HU"/>
        </w:rPr>
        <w:t xml:space="preserve">homlokzatmagasság korlátozás megszűnik, helyette az utcai párkánymagasság 9 méterben kerül szabályozásra, az épületmagasság </w:t>
      </w:r>
      <w:r>
        <w:rPr>
          <w:szCs w:val="24"/>
          <w:lang w:eastAsia="hu-HU"/>
        </w:rPr>
        <w:t xml:space="preserve">pedig </w:t>
      </w:r>
      <w:r w:rsidRPr="00BC2B95">
        <w:rPr>
          <w:szCs w:val="24"/>
          <w:lang w:eastAsia="hu-HU"/>
        </w:rPr>
        <w:t xml:space="preserve">6,5 méterről 7,5 </w:t>
      </w:r>
      <w:r w:rsidRPr="000619E7">
        <w:rPr>
          <w:szCs w:val="24"/>
          <w:lang w:eastAsia="hu-HU"/>
        </w:rPr>
        <w:t>méterre módosul.</w:t>
      </w:r>
    </w:p>
    <w:p w:rsidR="002B1B57" w:rsidRDefault="002B1B57" w:rsidP="002B1B57">
      <w:pPr>
        <w:jc w:val="center"/>
        <w:rPr>
          <w:bCs/>
          <w:color w:val="000000"/>
          <w:szCs w:val="24"/>
        </w:rPr>
      </w:pPr>
    </w:p>
    <w:p w:rsidR="002B1B57" w:rsidRDefault="002B1B57" w:rsidP="002B1B57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2. §-hoz</w:t>
      </w:r>
    </w:p>
    <w:p w:rsidR="002B1B57" w:rsidRDefault="002B1B57" w:rsidP="002B1B57">
      <w:pPr>
        <w:jc w:val="center"/>
        <w:rPr>
          <w:bCs/>
          <w:color w:val="000000"/>
          <w:szCs w:val="24"/>
        </w:rPr>
      </w:pPr>
    </w:p>
    <w:p w:rsidR="002B1B57" w:rsidRDefault="002B1B57" w:rsidP="002B1B57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 szabályozási terv a beruházások megvalósítása érdekében módosul.</w:t>
      </w:r>
    </w:p>
    <w:p w:rsidR="002B1B57" w:rsidRDefault="002B1B57" w:rsidP="002B1B57">
      <w:pPr>
        <w:jc w:val="center"/>
        <w:rPr>
          <w:bCs/>
          <w:color w:val="000000"/>
          <w:szCs w:val="24"/>
        </w:rPr>
      </w:pPr>
    </w:p>
    <w:p w:rsidR="002B1B57" w:rsidRDefault="002B1B57" w:rsidP="002B1B57">
      <w:pPr>
        <w:jc w:val="center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3. §-hoz</w:t>
      </w:r>
    </w:p>
    <w:p w:rsidR="002B1B57" w:rsidRDefault="002B1B57" w:rsidP="002B1B57">
      <w:pPr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Hatályba léptető, deregulációs rendelkezést és szabályozási átmenetet tartalmaz.</w:t>
      </w:r>
    </w:p>
    <w:p w:rsidR="002B1B57" w:rsidRDefault="002B1B57" w:rsidP="002B1B57">
      <w:pPr>
        <w:jc w:val="both"/>
        <w:rPr>
          <w:bCs/>
          <w:color w:val="000000"/>
          <w:szCs w:val="24"/>
        </w:rPr>
      </w:pPr>
    </w:p>
    <w:p w:rsidR="002B1B57" w:rsidRDefault="002B1B57" w:rsidP="002B1B57">
      <w:pPr>
        <w:jc w:val="both"/>
        <w:rPr>
          <w:b/>
        </w:rPr>
      </w:pPr>
      <w:r w:rsidRPr="005F241A">
        <w:rPr>
          <w:b/>
        </w:rPr>
        <w:t>Ezen indokolás a jogalkotásról szóló 2010. évi CXXX. törvény 18. § (3) bekezdése és a Magyar Közlöny kiadásáról, valamint a jogszabály kihirdetése során történő és a közjogi szervezetszabályozó eszköz közzététele során történő megjelöléséről szóló 5/2019. (III. 13.) IM rendelet 20. § (3) bekezdésében foglaltak alapján a rendelet kihirdetését követően a Nemzeti Jogszabálytárban közzétételre kerül</w:t>
      </w:r>
      <w:r>
        <w:rPr>
          <w:b/>
        </w:rPr>
        <w:t>.</w:t>
      </w:r>
    </w:p>
    <w:p w:rsidR="002B1B57" w:rsidRDefault="002B1B57" w:rsidP="002B1B57">
      <w:pPr>
        <w:jc w:val="both"/>
        <w:rPr>
          <w:b/>
        </w:rPr>
      </w:pPr>
    </w:p>
    <w:p w:rsidR="00863D53" w:rsidRDefault="00863D53">
      <w:bookmarkStart w:id="0" w:name="_GoBack"/>
      <w:bookmarkEnd w:id="0"/>
    </w:p>
    <w:sectPr w:rsidR="0086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57"/>
    <w:rsid w:val="002B1B57"/>
    <w:rsid w:val="008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4B3BA-6673-4299-8E37-157007A6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1B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2020-07-01T06:46:00Z</dcterms:created>
  <dcterms:modified xsi:type="dcterms:W3CDTF">2020-07-01T06:46:00Z</dcterms:modified>
</cp:coreProperties>
</file>