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F9" w:rsidRPr="00CF4154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I.5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  <w:r>
        <w:rPr>
          <w:rStyle w:val="Lbjegyzet-hivatkozs"/>
          <w:rFonts w:ascii="Bookman Old Style" w:hAnsi="Bookman Old Style"/>
          <w:b/>
          <w:sz w:val="22"/>
          <w:szCs w:val="22"/>
          <w:u w:val="single"/>
        </w:rPr>
        <w:footnoteReference w:id="1"/>
      </w:r>
    </w:p>
    <w:p w:rsidR="000D61F9" w:rsidRPr="00916D19" w:rsidRDefault="000D61F9" w:rsidP="000D61F9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0D61F9" w:rsidRPr="00916D19" w:rsidRDefault="000D61F9" w:rsidP="000D61F9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916D19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916D19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916D19">
        <w:rPr>
          <w:rFonts w:ascii="Bookman Old Style" w:hAnsi="Bookman Old Style"/>
          <w:sz w:val="22"/>
          <w:szCs w:val="22"/>
          <w:u w:val="single"/>
        </w:rPr>
        <w:t>. 13. §</w:t>
      </w:r>
      <w:proofErr w:type="spellStart"/>
      <w:r w:rsidRPr="00916D19">
        <w:rPr>
          <w:rFonts w:ascii="Bookman Old Style" w:hAnsi="Bookman Old Style"/>
          <w:sz w:val="22"/>
          <w:szCs w:val="22"/>
          <w:u w:val="single"/>
        </w:rPr>
        <w:t>-ában</w:t>
      </w:r>
      <w:proofErr w:type="spellEnd"/>
      <w:r w:rsidRPr="00916D19">
        <w:rPr>
          <w:rFonts w:ascii="Bookman Old Style" w:hAnsi="Bookman Old Style"/>
          <w:sz w:val="22"/>
          <w:szCs w:val="22"/>
          <w:u w:val="single"/>
        </w:rPr>
        <w:t xml:space="preserve"> felsorolt feladatok alapján </w:t>
      </w: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916D19" w:rsidRDefault="000D61F9" w:rsidP="000D61F9">
      <w:pPr>
        <w:jc w:val="both"/>
      </w:pPr>
    </w:p>
    <w:tbl>
      <w:tblPr>
        <w:tblW w:w="85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22"/>
      </w:tblGrid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6A2EBF">
              <w:rPr>
                <w:rFonts w:ascii="Arial" w:hAnsi="Arial" w:cs="Arial"/>
                <w:bCs/>
                <w:sz w:val="20"/>
                <w:szCs w:val="20"/>
              </w:rPr>
              <w:t>funkciók  KAPOSHOMOK</w:t>
            </w:r>
            <w:proofErr w:type="gramEnd"/>
            <w:r w:rsidRPr="006A2E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6A2EBF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6A2EBF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6A2EBF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6A2EBF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6A2EBF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E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081030  Sportlétesítmények működtetése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081045  Szabadidősport, rekreációs sporttevékenység támogatása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  <w:tr w:rsidR="000D61F9" w:rsidRPr="006A2EBF" w:rsidTr="003D7CB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D61F9" w:rsidRPr="006A2EBF" w:rsidRDefault="000D61F9" w:rsidP="003D7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1F9" w:rsidRPr="006A2EBF" w:rsidRDefault="000D61F9" w:rsidP="003D7C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2EBF">
              <w:rPr>
                <w:rFonts w:ascii="Arial" w:hAnsi="Arial" w:cs="Arial"/>
                <w:bCs/>
                <w:sz w:val="20"/>
                <w:szCs w:val="20"/>
              </w:rPr>
              <w:t>107055  Falugondnoki, tanyagondnoki szolgáltatás</w:t>
            </w:r>
          </w:p>
        </w:tc>
      </w:tr>
    </w:tbl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CF4154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I.25.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0D61F9" w:rsidRPr="00CF4154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CF4154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CF4154" w:rsidRDefault="000D61F9" w:rsidP="000D61F9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0D61F9" w:rsidRPr="00CF4154" w:rsidRDefault="000D61F9" w:rsidP="000D61F9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0D61F9" w:rsidRPr="00CF4154" w:rsidRDefault="000D61F9" w:rsidP="000D61F9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0D61F9" w:rsidRPr="00CF4154" w:rsidRDefault="000D61F9" w:rsidP="000D61F9">
      <w:pPr>
        <w:ind w:left="360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0D61F9" w:rsidRPr="00CF4154" w:rsidRDefault="000D61F9" w:rsidP="000D61F9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CF4154" w:rsidRDefault="000D61F9" w:rsidP="000D61F9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D61F9" w:rsidRPr="00CF4154" w:rsidRDefault="000D61F9" w:rsidP="000D61F9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0D61F9" w:rsidRPr="00CF4154" w:rsidRDefault="000D61F9" w:rsidP="000D61F9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12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I.25.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0D61F9" w:rsidRPr="00CF4154" w:rsidRDefault="000D61F9" w:rsidP="000D61F9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0D61F9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0D61F9" w:rsidRPr="00CF4154" w:rsidRDefault="000D61F9" w:rsidP="000D61F9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0D61F9" w:rsidRPr="00CF4154" w:rsidRDefault="000D61F9" w:rsidP="000D61F9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0D61F9" w:rsidRPr="00CF4154" w:rsidRDefault="000D61F9" w:rsidP="000D61F9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0D61F9" w:rsidRPr="00CF4154" w:rsidRDefault="000D61F9" w:rsidP="000D61F9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0D61F9" w:rsidRPr="00CF4154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Pr="00CF4154" w:rsidRDefault="000D61F9" w:rsidP="000D61F9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0D61F9" w:rsidRPr="00CF4154" w:rsidRDefault="000D61F9" w:rsidP="000D61F9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0D61F9" w:rsidRDefault="000D61F9" w:rsidP="000D61F9">
      <w:pPr>
        <w:jc w:val="both"/>
        <w:rPr>
          <w:rFonts w:ascii="Bookman Old Style" w:hAnsi="Bookman Old Style"/>
          <w:sz w:val="22"/>
          <w:szCs w:val="22"/>
        </w:rPr>
      </w:pPr>
    </w:p>
    <w:p w:rsidR="003056F9" w:rsidRDefault="003056F9">
      <w:bookmarkStart w:id="0" w:name="_GoBack"/>
      <w:bookmarkEnd w:id="0"/>
    </w:p>
    <w:sectPr w:rsidR="0030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F9" w:rsidRDefault="000D61F9" w:rsidP="000D61F9">
      <w:r>
        <w:separator/>
      </w:r>
    </w:p>
  </w:endnote>
  <w:endnote w:type="continuationSeparator" w:id="0">
    <w:p w:rsidR="000D61F9" w:rsidRDefault="000D61F9" w:rsidP="000D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F9" w:rsidRDefault="000D61F9" w:rsidP="000D61F9">
      <w:r>
        <w:separator/>
      </w:r>
    </w:p>
  </w:footnote>
  <w:footnote w:type="continuationSeparator" w:id="0">
    <w:p w:rsidR="000D61F9" w:rsidRDefault="000D61F9" w:rsidP="000D61F9">
      <w:r>
        <w:continuationSeparator/>
      </w:r>
    </w:p>
  </w:footnote>
  <w:footnote w:id="1">
    <w:p w:rsidR="000D61F9" w:rsidRDefault="000D61F9" w:rsidP="000D61F9">
      <w:pPr>
        <w:pStyle w:val="Vgjegyzetszvege"/>
      </w:pPr>
      <w:r>
        <w:rPr>
          <w:rStyle w:val="Lbjegyzet-hivatkozs"/>
        </w:rPr>
        <w:footnoteRef/>
      </w:r>
      <w:r>
        <w:t xml:space="preserve"> Módosította a 2/2016. (III.08.) önk. rendelet</w:t>
      </w:r>
      <w:r>
        <w:tab/>
      </w:r>
      <w:r>
        <w:tab/>
      </w:r>
      <w:r>
        <w:tab/>
      </w:r>
      <w:r>
        <w:tab/>
        <w:t>Hatályos: 2016. március 08-től</w:t>
      </w:r>
    </w:p>
    <w:p w:rsidR="000D61F9" w:rsidRDefault="000D61F9" w:rsidP="000D61F9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F9"/>
    <w:rsid w:val="000D61F9"/>
    <w:rsid w:val="0030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D61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D61F9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D61F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D61F9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D61F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61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D61F9"/>
    <w:rPr>
      <w:vertAlign w:val="superscript"/>
    </w:rPr>
  </w:style>
  <w:style w:type="paragraph" w:styleId="Vgjegyzetszvege">
    <w:name w:val="endnote text"/>
    <w:basedOn w:val="Norml"/>
    <w:link w:val="VgjegyzetszvegeChar"/>
    <w:rsid w:val="000D61F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D61F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0D61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D61F9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D61F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D61F9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D61F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61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D61F9"/>
    <w:rPr>
      <w:vertAlign w:val="superscript"/>
    </w:rPr>
  </w:style>
  <w:style w:type="paragraph" w:styleId="Vgjegyzetszvege">
    <w:name w:val="endnote text"/>
    <w:basedOn w:val="Norml"/>
    <w:link w:val="VgjegyzetszvegeChar"/>
    <w:rsid w:val="000D61F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D61F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2018-09-12T20:12:00Z</dcterms:created>
  <dcterms:modified xsi:type="dcterms:W3CDTF">2018-09-12T20:12:00Z</dcterms:modified>
</cp:coreProperties>
</file>