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9B" w:rsidRDefault="0003629B" w:rsidP="0003629B">
      <w:pPr>
        <w:ind w:left="17" w:hanging="17"/>
        <w:jc w:val="right"/>
      </w:pPr>
      <w:r>
        <w:t>1</w:t>
      </w:r>
      <w:proofErr w:type="gramStart"/>
      <w:r>
        <w:t>.melléklet</w:t>
      </w:r>
      <w:proofErr w:type="gramEnd"/>
      <w:r>
        <w:t xml:space="preserve"> </w:t>
      </w:r>
    </w:p>
    <w:p w:rsidR="0003629B" w:rsidRDefault="0003629B" w:rsidP="0003629B">
      <w:pPr>
        <w:ind w:left="17" w:hanging="17"/>
        <w:jc w:val="right"/>
      </w:pPr>
    </w:p>
    <w:p w:rsidR="0003629B" w:rsidRDefault="0003629B" w:rsidP="0003629B">
      <w:pPr>
        <w:autoSpaceDE w:val="0"/>
        <w:autoSpaceDN w:val="0"/>
        <w:adjustRightInd w:val="0"/>
        <w:ind w:right="45"/>
        <w:jc w:val="center"/>
        <w:rPr>
          <w:b/>
          <w:iCs/>
        </w:rPr>
      </w:pPr>
      <w:r>
        <w:rPr>
          <w:b/>
        </w:rPr>
        <w:t xml:space="preserve">Komárom Város Önkormányzat Képviselő-testületének </w:t>
      </w:r>
      <w:r>
        <w:rPr>
          <w:b/>
          <w:iCs/>
        </w:rPr>
        <w:t xml:space="preserve">a távhőszolgáltatásról </w:t>
      </w:r>
      <w:r>
        <w:rPr>
          <w:b/>
        </w:rPr>
        <w:t>szóló 21/2016.(IX.29.) önkormányzati rendelete 9. §</w:t>
      </w:r>
      <w:proofErr w:type="spellStart"/>
      <w:r>
        <w:rPr>
          <w:b/>
        </w:rPr>
        <w:t>-hoz</w:t>
      </w:r>
      <w:proofErr w:type="spellEnd"/>
    </w:p>
    <w:p w:rsidR="0003629B" w:rsidRDefault="0003629B" w:rsidP="0003629B">
      <w:pPr>
        <w:jc w:val="center"/>
        <w:rPr>
          <w:b/>
        </w:rPr>
      </w:pPr>
    </w:p>
    <w:p w:rsidR="0003629B" w:rsidRDefault="0003629B" w:rsidP="0003629B">
      <w:pPr>
        <w:jc w:val="both"/>
      </w:pPr>
      <w:bookmarkStart w:id="0" w:name="_GoBack"/>
      <w:bookmarkEnd w:id="0"/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  <w:r>
        <w:t xml:space="preserve">A lakossági felhasználó </w:t>
      </w:r>
      <w:proofErr w:type="spellStart"/>
      <w:r>
        <w:t>melegvíz</w:t>
      </w:r>
      <w:proofErr w:type="spellEnd"/>
      <w:r>
        <w:t xml:space="preserve"> </w:t>
      </w:r>
      <w:proofErr w:type="spellStart"/>
      <w:r>
        <w:t>hődíjának</w:t>
      </w:r>
      <w:proofErr w:type="spellEnd"/>
      <w:r>
        <w:t xml:space="preserve"> megállapításához, amennyiben nem rendelkezik saját mérővel a lakóépületeket és a vegyes célra használt épület lakásainak teljes fűtött alapterülete alapján a következő táblázatban meghatározott alapterületi értékhez tartozó vízmennyiségeket kell figyelembe venni.</w:t>
      </w: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suppressAutoHyphens w:val="0"/>
        <w:rPr>
          <w:u w:val="single"/>
          <w:lang w:eastAsia="en-US"/>
        </w:rPr>
      </w:pPr>
      <w:r>
        <w:rPr>
          <w:u w:val="single"/>
          <w:lang w:eastAsia="en-US"/>
        </w:rPr>
        <w:t>A használati melegvíz-felhasználás normatív mennyiségei mérési adatok hiányában:</w:t>
      </w:r>
    </w:p>
    <w:p w:rsidR="0003629B" w:rsidRDefault="0003629B" w:rsidP="0003629B">
      <w:pPr>
        <w:suppressAutoHyphens w:val="0"/>
        <w:rPr>
          <w:b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3629B" w:rsidTr="0003629B"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28 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Calibri" w:hAnsi="Calibri"/>
                <w:szCs w:val="22"/>
                <w:lang w:eastAsia="en-US"/>
              </w:rPr>
              <w:t xml:space="preserve">-ig 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4 vízm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53,1 - 62 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11 vízm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3</w:t>
            </w:r>
          </w:p>
        </w:tc>
      </w:tr>
      <w:tr w:rsidR="0003629B" w:rsidTr="0003629B"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28,1 – 35 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6 vízm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62,1 – 70 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13 vízm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3</w:t>
            </w:r>
          </w:p>
        </w:tc>
      </w:tr>
      <w:tr w:rsidR="0003629B" w:rsidTr="0003629B"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35,1 – 44 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7 vízm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70,1 – 85 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15 vízm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3</w:t>
            </w:r>
          </w:p>
        </w:tc>
      </w:tr>
      <w:tr w:rsidR="0003629B" w:rsidTr="0003629B"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44,1 – 53 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9 vízm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85,1 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 xml:space="preserve">2 </w:t>
            </w:r>
            <w:r>
              <w:rPr>
                <w:rFonts w:ascii="Calibri" w:hAnsi="Calibri"/>
                <w:szCs w:val="22"/>
                <w:lang w:eastAsia="en-US"/>
              </w:rPr>
              <w:t>felett</w:t>
            </w:r>
          </w:p>
        </w:tc>
        <w:tc>
          <w:tcPr>
            <w:tcW w:w="2303" w:type="dxa"/>
            <w:hideMark/>
          </w:tcPr>
          <w:p w:rsidR="0003629B" w:rsidRDefault="0003629B">
            <w:pPr>
              <w:suppressAutoHyphens w:val="0"/>
              <w:spacing w:after="120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18 vízm</w:t>
            </w:r>
            <w:r>
              <w:rPr>
                <w:rFonts w:ascii="Times" w:hAnsi="Times"/>
                <w:szCs w:val="22"/>
                <w:vertAlign w:val="superscript"/>
                <w:lang w:eastAsia="en-US"/>
              </w:rPr>
              <w:t>3</w:t>
            </w:r>
          </w:p>
        </w:tc>
      </w:tr>
    </w:tbl>
    <w:p w:rsidR="0003629B" w:rsidRDefault="0003629B" w:rsidP="0003629B">
      <w:pPr>
        <w:jc w:val="both"/>
      </w:pPr>
    </w:p>
    <w:p w:rsidR="0003629B" w:rsidRDefault="0003629B" w:rsidP="0003629B">
      <w:pPr>
        <w:tabs>
          <w:tab w:val="left" w:pos="567"/>
          <w:tab w:val="left" w:pos="4678"/>
        </w:tabs>
        <w:jc w:val="both"/>
      </w:pPr>
    </w:p>
    <w:p w:rsidR="0003629B" w:rsidRDefault="0003629B" w:rsidP="0003629B">
      <w:pPr>
        <w:jc w:val="both"/>
      </w:pPr>
      <w:r>
        <w:t xml:space="preserve">Az egyéb felhasználó </w:t>
      </w:r>
      <w:proofErr w:type="spellStart"/>
      <w:r>
        <w:t>melegvíz</w:t>
      </w:r>
      <w:proofErr w:type="spellEnd"/>
      <w:r>
        <w:t xml:space="preserve"> </w:t>
      </w:r>
      <w:proofErr w:type="spellStart"/>
      <w:r>
        <w:t>hődíjának</w:t>
      </w:r>
      <w:proofErr w:type="spellEnd"/>
      <w:r>
        <w:t xml:space="preserve"> meghatározásához szükséges vízmennyiséget (víz m</w:t>
      </w:r>
      <w:r>
        <w:rPr>
          <w:vertAlign w:val="superscript"/>
        </w:rPr>
        <w:t>3</w:t>
      </w:r>
      <w:r>
        <w:t xml:space="preserve">) a </w:t>
      </w:r>
      <w:proofErr w:type="spellStart"/>
      <w:r>
        <w:t>távhőszolgáltató</w:t>
      </w:r>
      <w:proofErr w:type="spellEnd"/>
      <w:r>
        <w:t xml:space="preserve"> és az egyéb felhasználó közösen állapítja meg.</w:t>
      </w: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03629B" w:rsidRDefault="0003629B" w:rsidP="0003629B">
      <w:pPr>
        <w:jc w:val="both"/>
      </w:pPr>
    </w:p>
    <w:p w:rsidR="00CB64DA" w:rsidRDefault="00CB64DA"/>
    <w:sectPr w:rsidR="00CB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9B"/>
    <w:rsid w:val="0003629B"/>
    <w:rsid w:val="00C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62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62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jegyzoititkarsag</dc:creator>
  <cp:lastModifiedBy>jegyzoititkarsag</cp:lastModifiedBy>
  <cp:revision>1</cp:revision>
  <dcterms:created xsi:type="dcterms:W3CDTF">2016-09-30T16:38:00Z</dcterms:created>
  <dcterms:modified xsi:type="dcterms:W3CDTF">2016-09-30T16:39:00Z</dcterms:modified>
</cp:coreProperties>
</file>