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B05" w:rsidRDefault="00874B05" w:rsidP="00874B05"/>
    <w:p w:rsidR="00874B05" w:rsidRPr="00637427" w:rsidRDefault="00874B05" w:rsidP="00874B05">
      <w:pPr>
        <w:pStyle w:val="Listaszerbekezds"/>
        <w:numPr>
          <w:ilvl w:val="0"/>
          <w:numId w:val="1"/>
        </w:numPr>
        <w:jc w:val="right"/>
        <w:rPr>
          <w:rFonts w:ascii="Times New Roman" w:hAnsi="Times New Roman" w:cs="Times New Roman"/>
          <w:b/>
          <w:sz w:val="24"/>
          <w:szCs w:val="24"/>
        </w:rPr>
      </w:pPr>
      <w:r>
        <w:rPr>
          <w:rFonts w:ascii="Times New Roman" w:hAnsi="Times New Roman" w:cs="Times New Roman"/>
          <w:b/>
          <w:sz w:val="24"/>
          <w:szCs w:val="24"/>
        </w:rPr>
        <w:t>melléklet</w:t>
      </w:r>
    </w:p>
    <w:p w:rsidR="00874B05" w:rsidRDefault="00874B05" w:rsidP="00874B05">
      <w:pPr>
        <w:ind w:left="1080"/>
        <w:jc w:val="center"/>
        <w:rPr>
          <w:rFonts w:ascii="Times New Roman" w:hAnsi="Times New Roman" w:cs="Times New Roman"/>
          <w:b/>
          <w:sz w:val="24"/>
          <w:szCs w:val="24"/>
        </w:rPr>
      </w:pPr>
    </w:p>
    <w:p w:rsidR="00874B05" w:rsidRPr="003044BD" w:rsidRDefault="00874B05" w:rsidP="00874B05">
      <w:pPr>
        <w:ind w:left="1080"/>
        <w:jc w:val="center"/>
        <w:rPr>
          <w:rFonts w:ascii="Times New Roman" w:hAnsi="Times New Roman" w:cs="Times New Roman"/>
          <w:b/>
          <w:sz w:val="24"/>
          <w:szCs w:val="24"/>
        </w:rPr>
      </w:pPr>
      <w:r w:rsidRPr="003044BD">
        <w:rPr>
          <w:rFonts w:ascii="Times New Roman" w:hAnsi="Times New Roman" w:cs="Times New Roman"/>
          <w:b/>
          <w:sz w:val="24"/>
          <w:szCs w:val="24"/>
        </w:rPr>
        <w:t>AZ ÁTRUHÁZOTT HATÁSKÖRÖKRŐL</w:t>
      </w:r>
    </w:p>
    <w:p w:rsidR="00874B05" w:rsidRPr="003044BD" w:rsidRDefault="00874B05" w:rsidP="00874B05">
      <w:pPr>
        <w:ind w:left="1080"/>
        <w:jc w:val="center"/>
        <w:rPr>
          <w:rFonts w:ascii="Times New Roman" w:hAnsi="Times New Roman" w:cs="Times New Roman"/>
          <w:b/>
          <w:sz w:val="24"/>
          <w:szCs w:val="24"/>
          <w:u w:val="single"/>
        </w:rPr>
      </w:pPr>
      <w:r w:rsidRPr="003044BD">
        <w:rPr>
          <w:rFonts w:ascii="Times New Roman" w:hAnsi="Times New Roman" w:cs="Times New Roman"/>
          <w:b/>
          <w:sz w:val="24"/>
          <w:szCs w:val="24"/>
          <w:u w:val="single"/>
        </w:rPr>
        <w:t>A képviselő-testület a polgármesterre a következő hatáskörök gyakorlását ruházza át:</w:t>
      </w:r>
    </w:p>
    <w:p w:rsidR="00874B05" w:rsidRPr="003044BD" w:rsidRDefault="00874B05" w:rsidP="00874B05">
      <w:pPr>
        <w:numPr>
          <w:ilvl w:val="0"/>
          <w:numId w:val="3"/>
        </w:numPr>
        <w:spacing w:after="200" w:line="276" w:lineRule="auto"/>
        <w:rPr>
          <w:rFonts w:ascii="Times New Roman" w:hAnsi="Times New Roman" w:cs="Times New Roman"/>
          <w:sz w:val="24"/>
          <w:szCs w:val="24"/>
          <w:u w:val="single"/>
        </w:rPr>
      </w:pPr>
      <w:r w:rsidRPr="003044BD">
        <w:rPr>
          <w:rFonts w:ascii="Times New Roman" w:hAnsi="Times New Roman" w:cs="Times New Roman"/>
          <w:sz w:val="24"/>
          <w:szCs w:val="24"/>
          <w:u w:val="single"/>
        </w:rPr>
        <w:t>Szociális és gyermekvédelmi hatáskörök</w:t>
      </w:r>
    </w:p>
    <w:p w:rsidR="00874B05" w:rsidRPr="003044BD" w:rsidRDefault="00874B05" w:rsidP="00874B05">
      <w:pPr>
        <w:numPr>
          <w:ilvl w:val="0"/>
          <w:numId w:val="4"/>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Köztemetés elrendelése</w:t>
      </w:r>
    </w:p>
    <w:p w:rsidR="00874B05" w:rsidRPr="003044BD" w:rsidRDefault="00874B05" w:rsidP="00874B05">
      <w:pPr>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Önkormányzati segély</w:t>
      </w:r>
    </w:p>
    <w:p w:rsidR="00874B05" w:rsidRPr="003044BD" w:rsidRDefault="00874B05" w:rsidP="00874B05">
      <w:pPr>
        <w:numPr>
          <w:ilvl w:val="0"/>
          <w:numId w:val="4"/>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Közcélú-és közhasznú munkások alkalmazása</w:t>
      </w:r>
    </w:p>
    <w:p w:rsidR="00874B05" w:rsidRPr="003044BD" w:rsidRDefault="00874B05" w:rsidP="00874B05">
      <w:pPr>
        <w:numPr>
          <w:ilvl w:val="0"/>
          <w:numId w:val="3"/>
        </w:numPr>
        <w:spacing w:after="200" w:line="276" w:lineRule="auto"/>
        <w:rPr>
          <w:rFonts w:ascii="Times New Roman" w:hAnsi="Times New Roman" w:cs="Times New Roman"/>
          <w:sz w:val="24"/>
          <w:szCs w:val="24"/>
          <w:u w:val="single"/>
        </w:rPr>
      </w:pPr>
      <w:r w:rsidRPr="003044BD">
        <w:rPr>
          <w:rFonts w:ascii="Times New Roman" w:hAnsi="Times New Roman" w:cs="Times New Roman"/>
          <w:sz w:val="24"/>
          <w:szCs w:val="24"/>
          <w:u w:val="single"/>
        </w:rPr>
        <w:t>Egyéb átruházott hatáskörök</w:t>
      </w:r>
    </w:p>
    <w:p w:rsidR="00874B05" w:rsidRPr="003044BD" w:rsidRDefault="00874B05" w:rsidP="00874B05">
      <w:pPr>
        <w:numPr>
          <w:ilvl w:val="0"/>
          <w:numId w:val="2"/>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dönt a célhoz nem kötött forrásai betétként történő elhelyezéséről, az állami hozzájárulás kivételével,</w:t>
      </w:r>
    </w:p>
    <w:p w:rsidR="00874B05" w:rsidRPr="003044BD" w:rsidRDefault="00874B05" w:rsidP="00874B05">
      <w:pPr>
        <w:numPr>
          <w:ilvl w:val="0"/>
          <w:numId w:val="2"/>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dönt a költségvetési általános tartalék 1 %-át meg nem haladó pénzeszközök felhasználásáról,</w:t>
      </w:r>
    </w:p>
    <w:p w:rsidR="00874B05" w:rsidRPr="003044BD" w:rsidRDefault="00874B05" w:rsidP="00874B05">
      <w:pPr>
        <w:numPr>
          <w:ilvl w:val="0"/>
          <w:numId w:val="2"/>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a fizetőképesség helyreállítása érdekében- a hatósági és az alapvető és lakossági szolgáltatások kivételével-fel függeszti a feladatok finanszírozását,</w:t>
      </w:r>
    </w:p>
    <w:p w:rsidR="00874B05" w:rsidRPr="003044BD" w:rsidRDefault="00874B05" w:rsidP="00874B05">
      <w:pPr>
        <w:numPr>
          <w:ilvl w:val="0"/>
          <w:numId w:val="2"/>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az önkormányzat költségvetésében jóváhagyott előirányzatot 500.000 Ft-ig módosíthatja, átcsoportosíthatja, mely éves szinten az 1.000.000 Ft-ot nem haladja meg.</w:t>
      </w:r>
    </w:p>
    <w:p w:rsidR="00874B05" w:rsidRPr="003044BD" w:rsidRDefault="00874B05" w:rsidP="00874B05">
      <w:pPr>
        <w:numPr>
          <w:ilvl w:val="0"/>
          <w:numId w:val="2"/>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 xml:space="preserve">gondoskodik a településen az </w:t>
      </w:r>
      <w:proofErr w:type="gramStart"/>
      <w:r w:rsidRPr="003044BD">
        <w:rPr>
          <w:rFonts w:ascii="Times New Roman" w:hAnsi="Times New Roman" w:cs="Times New Roman"/>
          <w:sz w:val="24"/>
          <w:szCs w:val="24"/>
        </w:rPr>
        <w:t>állati  hullák</w:t>
      </w:r>
      <w:proofErr w:type="gramEnd"/>
      <w:r w:rsidRPr="003044BD">
        <w:rPr>
          <w:rFonts w:ascii="Times New Roman" w:hAnsi="Times New Roman" w:cs="Times New Roman"/>
          <w:sz w:val="24"/>
          <w:szCs w:val="24"/>
        </w:rPr>
        <w:t xml:space="preserve"> ártalmatlanná tételéről,</w:t>
      </w:r>
    </w:p>
    <w:p w:rsidR="00874B05" w:rsidRPr="003044BD" w:rsidRDefault="00874B05" w:rsidP="00874B05">
      <w:pPr>
        <w:numPr>
          <w:ilvl w:val="0"/>
          <w:numId w:val="2"/>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gondoskodik a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874B05" w:rsidRPr="003044BD" w:rsidRDefault="00874B05" w:rsidP="00874B05">
      <w:pPr>
        <w:numPr>
          <w:ilvl w:val="0"/>
          <w:numId w:val="2"/>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 xml:space="preserve">megszervezi az </w:t>
      </w:r>
      <w:proofErr w:type="gramStart"/>
      <w:r w:rsidRPr="003044BD">
        <w:rPr>
          <w:rFonts w:ascii="Times New Roman" w:hAnsi="Times New Roman" w:cs="Times New Roman"/>
          <w:sz w:val="24"/>
          <w:szCs w:val="24"/>
        </w:rPr>
        <w:t>ebek  veszettség</w:t>
      </w:r>
      <w:proofErr w:type="gramEnd"/>
      <w:r w:rsidRPr="003044BD">
        <w:rPr>
          <w:rFonts w:ascii="Times New Roman" w:hAnsi="Times New Roman" w:cs="Times New Roman"/>
          <w:sz w:val="24"/>
          <w:szCs w:val="24"/>
        </w:rPr>
        <w:t xml:space="preserve"> elleni  kötelező védőoltását a nyilvántartás  és összeírás alapján,</w:t>
      </w:r>
    </w:p>
    <w:p w:rsidR="00874B05" w:rsidRPr="003044BD" w:rsidRDefault="00874B05" w:rsidP="00874B05">
      <w:pPr>
        <w:numPr>
          <w:ilvl w:val="0"/>
          <w:numId w:val="2"/>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gondoskodik a település belterületén-a külön jogszabályban meghatározott-növényvédelmi feladatok ellátásáról és ellenőrzéséről,</w:t>
      </w:r>
    </w:p>
    <w:p w:rsidR="00874B05" w:rsidRPr="003044BD" w:rsidRDefault="00874B05" w:rsidP="00874B05">
      <w:pPr>
        <w:numPr>
          <w:ilvl w:val="0"/>
          <w:numId w:val="2"/>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vizsgálatra felkérheti a Fogyasztóvédelmi Felügyelőséget a fogyasztói érdekvédelem és a minőségvédelem érdekében,</w:t>
      </w:r>
    </w:p>
    <w:p w:rsidR="00874B05" w:rsidRPr="003044BD" w:rsidRDefault="00874B05" w:rsidP="00874B05">
      <w:pPr>
        <w:numPr>
          <w:ilvl w:val="0"/>
          <w:numId w:val="2"/>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ellátja a helyi utak kezelői feladatát,</w:t>
      </w:r>
    </w:p>
    <w:p w:rsidR="00874B05" w:rsidRPr="003044BD" w:rsidRDefault="00874B05" w:rsidP="00874B05">
      <w:pPr>
        <w:numPr>
          <w:ilvl w:val="0"/>
          <w:numId w:val="2"/>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kialakítja a közút forgalmi rendjét, információs rendjét,</w:t>
      </w:r>
    </w:p>
    <w:p w:rsidR="00874B05" w:rsidRPr="003044BD" w:rsidRDefault="00874B05" w:rsidP="00874B05">
      <w:pPr>
        <w:numPr>
          <w:ilvl w:val="0"/>
          <w:numId w:val="2"/>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lastRenderedPageBreak/>
        <w:t>közterület használat engedélyezése,</w:t>
      </w:r>
    </w:p>
    <w:p w:rsidR="00874B05" w:rsidRPr="003044BD" w:rsidRDefault="00874B05" w:rsidP="00874B05">
      <w:pPr>
        <w:numPr>
          <w:ilvl w:val="0"/>
          <w:numId w:val="2"/>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önkormányzati vagyonnal kapcsolatos hatáskörök:</w:t>
      </w:r>
    </w:p>
    <w:p w:rsidR="00874B05" w:rsidRPr="003044BD" w:rsidRDefault="00874B05" w:rsidP="00874B05">
      <w:pPr>
        <w:numPr>
          <w:ilvl w:val="0"/>
          <w:numId w:val="5"/>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a közszolgáltatáshoz nélkülözhető vagyon-két évet meg nem haladó-határozott időtartamú bérbeadás útján történő hasznosítása</w:t>
      </w:r>
    </w:p>
    <w:p w:rsidR="00874B05" w:rsidRPr="003044BD" w:rsidRDefault="00874B05" w:rsidP="00874B05">
      <w:pPr>
        <w:numPr>
          <w:ilvl w:val="0"/>
          <w:numId w:val="5"/>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a használatban, kezelésben lévő, 100.000 Ft értéket meg nem haladó ingó vagyontárgyak, vagyonértékű jog stb. értékesítése,</w:t>
      </w:r>
    </w:p>
    <w:p w:rsidR="00874B05" w:rsidRPr="003044BD" w:rsidRDefault="00874B05" w:rsidP="00874B05">
      <w:pPr>
        <w:numPr>
          <w:ilvl w:val="0"/>
          <w:numId w:val="5"/>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30.000 Ft-a számviteli szabályok szerint számított-egyedi értéket meghaladó elavult ingóságok értékesítése,</w:t>
      </w:r>
    </w:p>
    <w:p w:rsidR="00874B05" w:rsidRPr="003044BD" w:rsidRDefault="00874B05" w:rsidP="00874B05">
      <w:pPr>
        <w:numPr>
          <w:ilvl w:val="0"/>
          <w:numId w:val="5"/>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az éves költségvetésben jóváhagyott beszerzések engedélyezése.</w:t>
      </w:r>
    </w:p>
    <w:p w:rsidR="00874B05" w:rsidRPr="003044BD" w:rsidRDefault="00874B05" w:rsidP="00874B05">
      <w:pPr>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A </w:t>
      </w:r>
      <w:r w:rsidRPr="003044BD">
        <w:rPr>
          <w:rFonts w:ascii="Times New Roman" w:hAnsi="Times New Roman" w:cs="Times New Roman"/>
          <w:sz w:val="24"/>
          <w:szCs w:val="24"/>
        </w:rPr>
        <w:t>jegyző javaslatára, az önkormányzat javára bejegyzett elidegenítés és terhelési tilalmak törlésének engedélyezése, ha a tilalommal biztosított kötelezettség teljesítésre került.</w:t>
      </w:r>
    </w:p>
    <w:p w:rsidR="00874B05" w:rsidRPr="003044BD" w:rsidRDefault="00874B05" w:rsidP="00874B05">
      <w:pPr>
        <w:ind w:left="1080"/>
        <w:jc w:val="center"/>
        <w:rPr>
          <w:rFonts w:ascii="Times New Roman" w:hAnsi="Times New Roman" w:cs="Times New Roman"/>
          <w:b/>
          <w:sz w:val="24"/>
          <w:szCs w:val="24"/>
          <w:u w:val="single"/>
        </w:rPr>
      </w:pPr>
      <w:r w:rsidRPr="003044BD">
        <w:rPr>
          <w:rFonts w:ascii="Times New Roman" w:hAnsi="Times New Roman" w:cs="Times New Roman"/>
          <w:b/>
          <w:sz w:val="24"/>
          <w:szCs w:val="24"/>
          <w:u w:val="single"/>
        </w:rPr>
        <w:t>A képviselő-testület Hevesi Kistérség Többcélú Társulására a következő hatáskörök gyakorlását ruházza át:</w:t>
      </w:r>
    </w:p>
    <w:p w:rsidR="00874B05" w:rsidRPr="003044BD" w:rsidRDefault="00874B05" w:rsidP="00874B05">
      <w:pPr>
        <w:numPr>
          <w:ilvl w:val="0"/>
          <w:numId w:val="6"/>
        </w:numPr>
        <w:spacing w:after="200" w:line="276" w:lineRule="auto"/>
        <w:jc w:val="center"/>
        <w:rPr>
          <w:rFonts w:ascii="Times New Roman" w:hAnsi="Times New Roman" w:cs="Times New Roman"/>
          <w:sz w:val="24"/>
          <w:szCs w:val="24"/>
        </w:rPr>
      </w:pPr>
      <w:r w:rsidRPr="003044BD">
        <w:rPr>
          <w:rFonts w:ascii="Times New Roman" w:hAnsi="Times New Roman" w:cs="Times New Roman"/>
          <w:sz w:val="24"/>
          <w:szCs w:val="24"/>
        </w:rPr>
        <w:t>Hétköznapi éjszakai és hévégi orvosi ügyelet biztosítása</w:t>
      </w:r>
    </w:p>
    <w:p w:rsidR="00874B05" w:rsidRPr="003044BD" w:rsidRDefault="00874B05" w:rsidP="00874B05">
      <w:pPr>
        <w:numPr>
          <w:ilvl w:val="0"/>
          <w:numId w:val="6"/>
        </w:numPr>
        <w:spacing w:after="200" w:line="276" w:lineRule="auto"/>
        <w:jc w:val="center"/>
        <w:rPr>
          <w:rFonts w:ascii="Times New Roman" w:hAnsi="Times New Roman" w:cs="Times New Roman"/>
          <w:sz w:val="24"/>
          <w:szCs w:val="24"/>
        </w:rPr>
      </w:pPr>
      <w:r w:rsidRPr="003044BD">
        <w:rPr>
          <w:rFonts w:ascii="Times New Roman" w:hAnsi="Times New Roman" w:cs="Times New Roman"/>
          <w:sz w:val="24"/>
          <w:szCs w:val="24"/>
        </w:rPr>
        <w:t>Állati hulladékok ártalmatlanítása</w:t>
      </w:r>
    </w:p>
    <w:p w:rsidR="00874B05" w:rsidRPr="003044BD" w:rsidRDefault="00874B05" w:rsidP="00874B05">
      <w:pPr>
        <w:numPr>
          <w:ilvl w:val="0"/>
          <w:numId w:val="6"/>
        </w:numPr>
        <w:spacing w:after="200" w:line="276" w:lineRule="auto"/>
        <w:jc w:val="center"/>
        <w:rPr>
          <w:rFonts w:ascii="Times New Roman" w:hAnsi="Times New Roman" w:cs="Times New Roman"/>
          <w:sz w:val="24"/>
          <w:szCs w:val="24"/>
        </w:rPr>
      </w:pPr>
      <w:r w:rsidRPr="003044BD">
        <w:rPr>
          <w:rFonts w:ascii="Times New Roman" w:hAnsi="Times New Roman" w:cs="Times New Roman"/>
          <w:sz w:val="24"/>
          <w:szCs w:val="24"/>
        </w:rPr>
        <w:t>Családsegítő-és gyermekjóléti szolgáltatás</w:t>
      </w: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874B05" w:rsidRDefault="00874B05" w:rsidP="00874B05">
      <w:pPr>
        <w:ind w:left="1440"/>
        <w:jc w:val="right"/>
        <w:rPr>
          <w:rFonts w:ascii="Times New Roman" w:hAnsi="Times New Roman" w:cs="Times New Roman"/>
          <w:b/>
          <w:sz w:val="24"/>
          <w:szCs w:val="24"/>
        </w:rPr>
      </w:pPr>
    </w:p>
    <w:p w:rsidR="00EB2068" w:rsidRDefault="00EB2068"/>
    <w:sectPr w:rsidR="00EB2068" w:rsidSect="00EB20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C97"/>
    <w:multiLevelType w:val="hybridMultilevel"/>
    <w:tmpl w:val="28EC2E1A"/>
    <w:lvl w:ilvl="0" w:tplc="68EC9232">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nsid w:val="11FC3360"/>
    <w:multiLevelType w:val="hybridMultilevel"/>
    <w:tmpl w:val="42E0D62A"/>
    <w:lvl w:ilvl="0" w:tplc="040E0009">
      <w:start w:val="1"/>
      <w:numFmt w:val="bullet"/>
      <w:lvlText w:val=""/>
      <w:lvlJc w:val="left"/>
      <w:pPr>
        <w:ind w:left="1800" w:hanging="360"/>
      </w:pPr>
      <w:rPr>
        <w:rFonts w:ascii="Wingdings" w:hAnsi="Wingding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
    <w:nsid w:val="4C8C495A"/>
    <w:multiLevelType w:val="hybridMultilevel"/>
    <w:tmpl w:val="633C8E1E"/>
    <w:lvl w:ilvl="0" w:tplc="5B1A4B2C">
      <w:start w:val="1"/>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51056E7F"/>
    <w:multiLevelType w:val="hybridMultilevel"/>
    <w:tmpl w:val="DCDEE28C"/>
    <w:lvl w:ilvl="0" w:tplc="DAB6EFD8">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nsid w:val="5AF76D8C"/>
    <w:multiLevelType w:val="multilevel"/>
    <w:tmpl w:val="B5586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BC2E36"/>
    <w:multiLevelType w:val="hybridMultilevel"/>
    <w:tmpl w:val="8B40A988"/>
    <w:lvl w:ilvl="0" w:tplc="0F8494C4">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74B05"/>
    <w:rsid w:val="002C6AE6"/>
    <w:rsid w:val="004256F8"/>
    <w:rsid w:val="00581459"/>
    <w:rsid w:val="006D7722"/>
    <w:rsid w:val="00874B05"/>
    <w:rsid w:val="00EB206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74B05"/>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814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2267</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Jegyző</dc:creator>
  <cp:keywords/>
  <dc:description/>
  <cp:lastModifiedBy>Jegyző</cp:lastModifiedBy>
  <cp:revision>1</cp:revision>
  <dcterms:created xsi:type="dcterms:W3CDTF">2014-01-08T08:59:00Z</dcterms:created>
  <dcterms:modified xsi:type="dcterms:W3CDTF">2014-01-08T08:59:00Z</dcterms:modified>
</cp:coreProperties>
</file>