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Visnye Község Önkormányzata Képviselő-testületének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4/2021. (III.12.) önkormányzati rendelete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az önkormányzat 2021. évi költségvetéséről </w:t>
      </w:r>
    </w:p>
    <w:p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Visnye Község Polgármestere a katasztrófavédelemről és a hozzá kapcsolódó egyes törvények módosításáról szóló 2011. évi CXXVIII. törvény 46. § (4) bekezdésben kapott felhatalmazása alapján a 27/2021. (I. 29.) Korm. rendelettel kihirdetett veszélyhelyzetre figyelemmel Visnye Községi Önkormányzata Képviselő-testülete feladat- és hatáskörében eljárva, valamint az Alaptörvény 32. cikk (2) bekezdésében meghatározott eredeti jogalkotói hatáskörében, az Alaptörvény 32. cikk (1) bekezdés f) pontjában meghatározott feladatkörében eljárva Visnye Községi Önkormányzata 2021. évi költségvetéséről a következőket rendeli el.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I.fejezet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RENDELKEZÉSEK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rendelet hatálya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hatálya a képviselő-testületre és annak szerveire terjed ki. </w:t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meghatározza a kötelező és önként vállalt feladatok ellátásához szükséges bevételeket és kiadásokat, figyelemmel a 2021. évi gazdálkodás főbb szabályaira.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címrendje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Visnye Község Polgármestere</w:t>
      </w:r>
      <w:r>
        <w:rPr>
          <w:rFonts w:cs="Times New Roman" w:ascii="Times New Roman" w:hAnsi="Times New Roman"/>
          <w:sz w:val="24"/>
          <w:szCs w:val="24"/>
        </w:rPr>
        <w:t xml:space="preserve"> a címrendet az alábbiak szerint állapítja meg.</w:t>
      </w:r>
    </w:p>
    <w:p>
      <w:pPr>
        <w:pStyle w:val="NoSpacing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 Visnye Község Önkormányzata önálló címet alkot.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Visnye Község Polgármestere</w:t>
      </w:r>
      <w:r>
        <w:rPr>
          <w:rFonts w:cs="Times New Roman" w:ascii="Times New Roman" w:hAnsi="Times New Roman"/>
          <w:sz w:val="24"/>
          <w:szCs w:val="24"/>
        </w:rPr>
        <w:t xml:space="preserve"> az önkormányzat és költségvetési szerve együttes 2021. évi költségvetését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Hlk2605982"/>
      <w:r>
        <w:rPr>
          <w:rFonts w:cs="Times New Roman" w:ascii="Times New Roman" w:hAnsi="Times New Roman"/>
          <w:b/>
          <w:sz w:val="24"/>
          <w:szCs w:val="24"/>
        </w:rPr>
        <w:t>62.624.579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 Ft összes költségvetési bevétellel,</w:t>
      </w:r>
    </w:p>
    <w:p>
      <w:pPr>
        <w:pStyle w:val="NoSpacing"/>
        <w:ind w:left="2124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62.624.579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Ft összes költségvetési kiadással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Ezen belül:  </w:t>
      </w:r>
    </w:p>
    <w:p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 működési célú bevételt</w:t>
        <w:tab/>
        <w:tab/>
        <w:tab/>
        <w:tab/>
        <w:tab/>
        <w:tab/>
        <w:t>48.415.633 Ft-ban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felhalmozás célú bevétel</w:t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14.208.946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előző évi pénzmaradvány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</w:t>
        <w:tab/>
        <w:tab/>
        <w:tab/>
        <w:tab/>
        <w:tab/>
        <w:tab/>
        <w:tab/>
        <w:tab/>
        <w:tab/>
        <w:t>11.608.946 Ft-ban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felhalmozási</w:t>
        <w:tab/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</w:t>
        <w:tab/>
        <w:tab/>
        <w:t xml:space="preserve">   0Ft-ban</w:t>
        <w:tab/>
        <w:t xml:space="preserve">     </w:t>
        <w:tab/>
        <w:t xml:space="preserve">  </w:t>
        <w:tab/>
        <w:tab/>
        <w:tab/>
        <w:tab/>
        <w:tab/>
        <w:t xml:space="preserve">  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 célú kiadásokat</w:t>
        <w:tab/>
        <w:tab/>
        <w:tab/>
        <w:tab/>
        <w:tab/>
        <w:tab/>
        <w:tab/>
        <w:t xml:space="preserve"> 62.124.579 Ft-ban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ebből: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személyi juttatások kiadásait</w:t>
        <w:tab/>
        <w:tab/>
        <w:tab/>
        <w:t xml:space="preserve">         </w:t>
        <w:tab/>
        <w:t>23.400.525 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munkaadót terhelő járulékokat </w:t>
        <w:tab/>
        <w:tab/>
        <w:tab/>
        <w:tab/>
        <w:t>2.565.384 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dologi kiadásokat</w:t>
        <w:tab/>
        <w:tab/>
        <w:tab/>
        <w:tab/>
        <w:tab/>
      </w:r>
      <w:r>
        <w:rPr>
          <w:bCs/>
          <w:sz w:val="24"/>
          <w:szCs w:val="24"/>
        </w:rPr>
        <w:t xml:space="preserve">9.236.630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ellátottak pénzbeli juttatásait</w:t>
        <w:tab/>
        <w:tab/>
        <w:tab/>
        <w:tab/>
      </w:r>
      <w:r>
        <w:rPr>
          <w:bCs/>
          <w:sz w:val="24"/>
          <w:szCs w:val="24"/>
        </w:rPr>
        <w:t xml:space="preserve">7.483.000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egyéb működési célú kiadásokat</w:t>
        <w:tab/>
        <w:tab/>
        <w:tab/>
        <w:tab/>
        <w:t>18.192.764</w:t>
      </w:r>
      <w:r>
        <w:rPr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Áht.-n belüli megelőlegezések kiadásai</w:t>
        <w:tab/>
        <w:tab/>
        <w:t xml:space="preserve">           </w:t>
        <w:tab/>
        <w:t>1.246.276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felhalmozás célú kiadásokat</w:t>
        <w:tab/>
        <w:tab/>
        <w:tab/>
        <w:tab/>
        <w:t xml:space="preserve">           500.000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cs="Times New Roman" w:ascii="Times New Roman" w:hAnsi="Times New Roman"/>
          <w:b/>
          <w:bCs/>
          <w:sz w:val="24"/>
          <w:szCs w:val="24"/>
        </w:rPr>
        <w:t>1.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2. sz. 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 sz.</w:t>
      </w:r>
      <w:r>
        <w:rPr>
          <w:rFonts w:cs="Times New Roman" w:ascii="Times New Roman" w:hAnsi="Times New Roman"/>
          <w:sz w:val="24"/>
          <w:szCs w:val="24"/>
        </w:rPr>
        <w:t xml:space="preserve"> melléklet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kiadásait elkülönítetten, jogcímenkénti bontásban kötelező, önként vállalt és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3. sz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melléklet</w:t>
      </w:r>
      <w:r>
        <w:rPr>
          <w:rFonts w:cs="Times New Roman" w:ascii="Times New Roman" w:hAnsi="Times New Roman"/>
          <w:sz w:val="24"/>
          <w:szCs w:val="24"/>
        </w:rPr>
        <w:t>, kormányzati funkciók szerint bontásban 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5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6. sz. melléklet </w:t>
      </w:r>
      <w:r>
        <w:rPr>
          <w:rFonts w:cs="Times New Roman" w:ascii="Times New Roman" w:hAnsi="Times New Roman"/>
          <w:sz w:val="24"/>
          <w:szCs w:val="24"/>
        </w:rPr>
        <w:t>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tartaléka </w:t>
      </w:r>
      <w:r>
        <w:rPr>
          <w:rFonts w:cs="Times New Roman" w:ascii="Times New Roman" w:hAnsi="Times New Roman"/>
          <w:b/>
          <w:sz w:val="24"/>
          <w:szCs w:val="24"/>
        </w:rPr>
        <w:t>16.606.359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Ft.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szervének létszámkeretét a </w:t>
      </w:r>
      <w:r>
        <w:rPr>
          <w:rFonts w:cs="Times New Roman" w:ascii="Times New Roman" w:hAnsi="Times New Roman"/>
          <w:b/>
          <w:bCs/>
          <w:sz w:val="24"/>
          <w:szCs w:val="24"/>
        </w:rPr>
        <w:t>7.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>
        <w:rPr>
          <w:rFonts w:cs="Times New Roman" w:ascii="Times New Roman" w:hAnsi="Times New Roman"/>
          <w:b/>
          <w:bCs/>
          <w:sz w:val="24"/>
          <w:szCs w:val="24"/>
        </w:rPr>
        <w:t>10.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bevételi többlet kezelése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és céltartalék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Visnye Község Polgármestere</w:t>
      </w:r>
      <w:r>
        <w:rPr>
          <w:rFonts w:cs="Times New Roman" w:ascii="Times New Roman" w:hAnsi="Times New Roman"/>
          <w:sz w:val="24"/>
          <w:szCs w:val="24"/>
        </w:rPr>
        <w:t xml:space="preserve"> az önkormányzat </w:t>
      </w:r>
      <w:r>
        <w:rPr>
          <w:rFonts w:cs="Times New Roman" w:ascii="Times New Roman" w:hAnsi="Times New Roman"/>
          <w:b/>
          <w:bCs/>
          <w:sz w:val="24"/>
          <w:szCs w:val="24"/>
        </w:rPr>
        <w:t>általános tartalékát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.000.000 Ft </w:t>
      </w:r>
      <w:r>
        <w:rPr>
          <w:rFonts w:cs="Times New Roman" w:ascii="Times New Roman" w:hAnsi="Times New Roman"/>
          <w:sz w:val="24"/>
          <w:szCs w:val="24"/>
        </w:rPr>
        <w:t>összegben,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céltartalékát 15.606.359 Ft </w:t>
      </w:r>
      <w:r>
        <w:rPr>
          <w:rFonts w:cs="Times New Roman" w:ascii="Times New Roman" w:hAnsi="Times New Roman"/>
          <w:sz w:val="24"/>
          <w:szCs w:val="24"/>
        </w:rPr>
        <w:t>összegben állapítja meg.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Többéves kihatással járó döntések, európai uniós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programok, projektek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Visnye Község Polgármestere</w:t>
      </w:r>
      <w:r>
        <w:rPr>
          <w:rFonts w:cs="Times New Roman" w:ascii="Times New Roman" w:hAnsi="Times New Roman"/>
          <w:sz w:val="24"/>
          <w:szCs w:val="24"/>
        </w:rPr>
        <w:t xml:space="preserve"> többéves kihatással járó feladatról, ill. európai uniós forrásból megvalósuló programok, projektek tárgyában nem döntött.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Előirányzat- felhasználási ütemterv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8. sz. melléklet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Támogatások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9. sz. melléklete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III. 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végrehajtásának szabályai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Indent2"/>
        <w:ind w:left="0" w:hanging="0"/>
        <w:rPr/>
      </w:pPr>
      <w:r>
        <w:rPr/>
        <w:t>(1) A képviselő-testület és szervei szervezeti és működési szabályzatáról szóló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BodyTextIndent2"/>
        <w:rPr/>
      </w:pPr>
      <w:r>
        <w:rPr/>
        <w:t>(2)Az átruházott hatáskörben hozott döntések a későbbi években a képviselő-testület által jóváhagyottnál nagyobb többletkiadással nem járhatnak.</w:t>
      </w:r>
    </w:p>
    <w:p>
      <w:pPr>
        <w:pStyle w:val="BodyTextIndent2"/>
        <w:ind w:left="0" w:hanging="0"/>
        <w:rPr/>
      </w:pPr>
      <w:r>
        <w:rPr/>
      </w:r>
    </w:p>
    <w:p>
      <w:pPr>
        <w:pStyle w:val="BodyTextIndent2"/>
        <w:rPr/>
      </w:pPr>
      <w:r>
        <w:rPr/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 xml:space="preserve">(4) Az általános tartalék előirányzaton belül a költségvetési évet tekintve összesen </w:t>
      </w:r>
      <w:r>
        <w:rPr/>
        <w:t>700.000</w:t>
      </w:r>
      <w:r>
        <w:rPr>
          <w:b/>
          <w:bCs/>
        </w:rPr>
        <w:t xml:space="preserve"> Ft </w:t>
      </w:r>
      <w:r>
        <w:rPr/>
        <w:t>felhasználását a képviselő-testület – a teljesülést követően negyedévenkénti beszámolási kötelezettséggel – a polgármester hatáskörébe utalja.</w:t>
      </w:r>
    </w:p>
    <w:p>
      <w:pPr>
        <w:pStyle w:val="Normal"/>
        <w:ind w:left="36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>
      <w:pPr>
        <w:pStyle w:val="Normal"/>
        <w:jc w:val="center"/>
        <w:rPr/>
      </w:pPr>
      <w:r>
        <w:rPr/>
      </w:r>
    </w:p>
    <w:p>
      <w:pPr>
        <w:pStyle w:val="BodyTextIndent2"/>
        <w:ind w:left="0" w:hanging="0"/>
        <w:rPr/>
      </w:pPr>
      <w:r>
        <w:rPr/>
        <w:t>(1) A Hivatal éves költségvetésének végrehajtásáért, a gazdálkodás jogszerűségéért, a takarékosság érvényesítéséért, a bevételek növeléséért az alapfeladatok sérelme nélkül a jegyző a felelős.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ind w:left="0" w:hanging="0"/>
        <w:rPr/>
      </w:pPr>
      <w:r>
        <w:rPr/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/>
      </w:pPr>
      <w:r>
        <w:rPr/>
      </w:r>
    </w:p>
    <w:p>
      <w:pPr>
        <w:pStyle w:val="BodyTextIndent2"/>
        <w:ind w:left="0" w:hanging="0"/>
        <w:rPr/>
      </w:pPr>
      <w:r>
        <w:rPr/>
      </w:r>
    </w:p>
    <w:p>
      <w:pPr>
        <w:pStyle w:val="BodyTextIndent2"/>
        <w:ind w:left="0" w:hanging="0"/>
        <w:rPr/>
      </w:pPr>
      <w:r>
        <w:rPr/>
        <w:t>(2) Az (1) bekezdésben nem szereplő központi pótelőirányzatok felosztásáról és a Hivatal saját hatáskörben kezdeményezett rendelet módosításáról a képviselő testület az (1) bekezdésben foglalt módon dönt.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Az önkormányzat és a költségvetési szerv bevételi és kiadási előirányzatai év közben megváltoztathatók az előirányzat módosításával. Az előirányzatok megváltoztatása e költségvetési rendeletben meghatározottak szerint történik. </w:t>
      </w:r>
    </w:p>
    <w:p>
      <w:pPr>
        <w:pStyle w:val="Normal"/>
        <w:tabs>
          <w:tab w:val="clear" w:pos="708"/>
          <w:tab w:val="left" w:pos="360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költségvetési szerv saját hatáskörű előirányzat módosítást csak abban az esetben hajthat végre, ha a személyi juttatások és/vagy a munkaadót terhelő járulék előirányzatból dologi kiadásokra csoportosít át. Az átcsoportosítást a képviselő-testület rendelet-módosításban hagyja jóvá. </w:t>
      </w:r>
    </w:p>
    <w:p>
      <w:pPr>
        <w:pStyle w:val="Normal"/>
        <w:tabs>
          <w:tab w:val="clear" w:pos="708"/>
          <w:tab w:val="left" w:pos="170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A költségvetési szervek a jóváhagyott bevételi előirányzataikon felüli többletbevételeiket a költségvetési rendeletbe történő átvezetése, annak módosítása után használhatják fel.  </w:t>
      </w:r>
    </w:p>
    <w:p>
      <w:pPr>
        <w:pStyle w:val="Normal"/>
        <w:tabs>
          <w:tab w:val="clear" w:pos="708"/>
          <w:tab w:val="decimal" w:pos="283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hanging="0"/>
        <w:rPr/>
      </w:pPr>
      <w:r>
        <w:rPr/>
        <w:t>(4) A jóváhagyott kiemelt előirányzatokon belül az átcsoportosításról a költségvetési szerv vezetője saját hatáskörben dönt.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(5) A költségvetési szerv a saját hatáskörű előirányzat módosításokról az irányító szervét félévenként tájékoztatja.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(6) Az Államháztartásról szóló 2011. évi CXCV. törvény 34 § (2) bekezdése alapján a képviselő-testület felhatalmazza a polgármestert feladatonként nettó 15 millió forint értékhatárig az önkormányzat bevételeinek és kiadásainak módosítására, és a kiadási előirányzatok közötti átcsoportosításra. A módosítást a költségvetési rendelet módosítása során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(7) Év közben az önkormányzat számára meghatározott kötött felhasználású pótelőirányzat felhasználásáról a polgármester dönt. Az előirányzat módosítást a költségvetési rendelet módosításakor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>
      <w:pPr>
        <w:pStyle w:val="Normal"/>
        <w:jc w:val="both"/>
        <w:rPr>
          <w:b/>
          <w:b/>
          <w:bCs/>
          <w:color w:val="FF00FF"/>
          <w:sz w:val="24"/>
          <w:szCs w:val="24"/>
        </w:rPr>
      </w:pPr>
      <w:r>
        <w:rPr>
          <w:b/>
          <w:bCs/>
          <w:color w:val="FF00FF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 polgármester önálló létszám- és bérgazdálkodási jogkörében eljárva az engedélyezett létszám (álláshely)-keretet a tényleges foglalkoztatás során köteles betartani.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(1) Az </w:t>
      </w:r>
      <w:r>
        <w:rPr>
          <w:b/>
          <w:bCs/>
          <w:sz w:val="24"/>
          <w:szCs w:val="24"/>
        </w:rPr>
        <w:t>1.000.000</w:t>
      </w:r>
      <w:r>
        <w:rPr>
          <w:sz w:val="24"/>
          <w:szCs w:val="24"/>
        </w:rPr>
        <w:t xml:space="preserve"> Ft-ot meghaladó összegű támogatások átadása előtt a támogatás címzettjével megállapodást kell kötni.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képviselő-testület a megállapodás megkötése előtt ellenőrzi a helyi önkormányzat költségvetéséből céljelleggel juttatott támogatások felhasználását, elszámolását.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önállóan működő és gazdálkodó költségvetési szerv költségvetési támogatását a képviselő-testület a költségvetési szervek pénzellátási rendje szerint biztosítja.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 szolgáltatási szerződést írásban kell megkötni.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a.) a költségvetési szerv az adott feladat ellátáshoz megfelelő szakértelemmel rendelkező személyt nem foglalkoztat, vagy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köthető.</w:t>
      </w:r>
    </w:p>
    <w:p>
      <w:pPr>
        <w:pStyle w:val="Normal"/>
        <w:jc w:val="center"/>
        <w:rPr>
          <w:sz w:val="24"/>
          <w:szCs w:val="24"/>
        </w:rPr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(5) A szerződésnek tartalmaznia kell különösen:</w:t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a.) az ellátandó feladatot,</w:t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b.) a díjazás mértékét,</w:t>
      </w:r>
    </w:p>
    <w:p>
      <w:pPr>
        <w:pStyle w:val="Normal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c.) részletes utalást arra, hogy a (3) bekezdésben írt feltétel mely körülményre tekintettel áll fenn,</w:t>
      </w:r>
    </w:p>
    <w:p>
      <w:pPr>
        <w:pStyle w:val="Normal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d.) a szerződés időtartamát,</w:t>
      </w:r>
    </w:p>
    <w:p>
      <w:pPr>
        <w:pStyle w:val="Normal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e.) szervezettel kötendő szerződés esetén azt, hogy a szervezet részéről személy szerint ki(k) köteles(ek) a feladat ellátására, valamint,</w:t>
      </w:r>
    </w:p>
    <w:p>
      <w:pPr>
        <w:pStyle w:val="Normal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f.) a teljesítés igazolására felhatalmazott személy megnevezését.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>
      <w:pPr>
        <w:pStyle w:val="Normal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(3) Ha a polgármester a kötelezettségének nem tesz eleget, a biztos kirendelését indítványozhatja</w:t>
      </w:r>
    </w:p>
    <w:p>
      <w:pPr>
        <w:pStyle w:val="Normal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>
      <w:pPr>
        <w:pStyle w:val="Normal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>
      <w:pPr>
        <w:pStyle w:val="Normal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(5) Amennyiben az önkormányzatnál időközben adósságrendezési eljárást kezdeményeztek az általa fenntartott költségvetési szervek körében, az önkormányzati biztos további tevékenységére az alábbi szabályok alkalmazandók:</w:t>
      </w:r>
    </w:p>
    <w:p>
      <w:pPr>
        <w:pStyle w:val="Szvegtrzsbehzsa"/>
        <w:ind w:left="0" w:firstLine="426"/>
        <w:rPr/>
      </w:pPr>
      <w:r>
        <w:rPr/>
        <w:t>a.) az önkormányzati biztos tevékenységéről a képviselő-testületnek havonta köteles beszámolni,</w:t>
      </w:r>
    </w:p>
    <w:p>
      <w:pPr>
        <w:pStyle w:val="Szvegtrzsbehzsa"/>
        <w:ind w:left="0" w:firstLine="426"/>
        <w:rPr/>
      </w:pPr>
      <w:r>
        <w:rPr/>
        <w:t>b.) az önkormányzati biztos haladéktalanul köteles tájékoztatni a polgármestert, ha a költségvetési szervvel szemben adósságrendezési eljárást kezdeményeztek.  </w:t>
      </w:r>
    </w:p>
    <w:p>
      <w:pPr>
        <w:pStyle w:val="Szvegtrzsbehzsa"/>
        <w:ind w:left="0" w:firstLine="426"/>
        <w:rPr/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Pótköltségvetés, költségvetés módosítása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Ez a rendelet a kihirdetését követő napon lép hatályba.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Visnye, 2021. március 12.</w:t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  <w:t>Füszfás Balázs</w:t>
        <w:tab/>
        <w:tab/>
        <w:tab/>
        <w:tab/>
        <w:tab/>
        <w:tab/>
        <w:tab/>
        <w:t xml:space="preserve">    </w:t>
        <w:tab/>
        <w:t xml:space="preserve">Dr.Barka Tamás </w:t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polgármester</w:t>
        <w:tab/>
        <w:t xml:space="preserve">                                                        </w:t>
        <w:tab/>
        <w:tab/>
        <w:t xml:space="preserve">    </w:t>
        <w:tab/>
        <w:t xml:space="preserve">         jegyző</w:t>
        <w:tab/>
      </w:r>
    </w:p>
    <w:p>
      <w:pPr>
        <w:pStyle w:val="BodyText3"/>
        <w:tabs>
          <w:tab w:val="clear" w:pos="2268"/>
        </w:tabs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  <w:t>Kihirdetési záradék: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rendelet kihirdetve: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2021. március 12.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Dr. Barka Tamás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jegyző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7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4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zvegtrzsbehzssalChar" w:customStyle="1">
    <w:name w:val="Szövegtörzs behúzással Char"/>
    <w:link w:val="Szvegtrzsbehzssal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2Char" w:customStyle="1">
    <w:name w:val="Szövegtörzs behúzással 2 Char"/>
    <w:link w:val="Szvegtrzsbehzssal2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3Char" w:customStyle="1">
    <w:name w:val="Szövegtörzs behúzással 3 Char"/>
    <w:link w:val="Szvegtrzsbehzssal3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3Char" w:customStyle="1">
    <w:name w:val="Szövegtörzs 3 Char"/>
    <w:link w:val="Szvegtrzs3"/>
    <w:uiPriority w:val="99"/>
    <w:qFormat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BuborkszvegChar" w:customStyle="1">
    <w:name w:val="Buborékszöveg Char"/>
    <w:link w:val="Buborkszveg"/>
    <w:uiPriority w:val="99"/>
    <w:semiHidden/>
    <w:qFormat/>
    <w:locked/>
    <w:rsid w:val="004f54ef"/>
    <w:rPr>
      <w:rFonts w:ascii="Tahoma" w:hAnsi="Tahoma" w:cs="Tahoma"/>
      <w:sz w:val="16"/>
      <w:szCs w:val="16"/>
      <w:lang w:eastAsia="hu-HU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cf10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hu-HU" w:eastAsia="en-US" w:bidi="ar-SA"/>
    </w:rPr>
  </w:style>
  <w:style w:type="paragraph" w:styleId="Szvegtrzsbehzsa">
    <w:name w:val="Body Text Indent"/>
    <w:basedOn w:val="Normal"/>
    <w:link w:val="SzvegtrzsbehzssalChar"/>
    <w:uiPriority w:val="99"/>
    <w:rsid w:val="004f54ef"/>
    <w:pPr>
      <w:ind w:left="709" w:hanging="567"/>
      <w:jc w:val="both"/>
    </w:pPr>
    <w:rPr>
      <w:rFonts w:eastAsia="Calibri"/>
    </w:rPr>
  </w:style>
  <w:style w:type="paragraph" w:styleId="BodyTextIndent2">
    <w:name w:val="Body Text Indent 2"/>
    <w:basedOn w:val="Normal"/>
    <w:link w:val="Szvegtrzsbehzssal2Char"/>
    <w:uiPriority w:val="99"/>
    <w:qFormat/>
    <w:rsid w:val="004f54ef"/>
    <w:pPr>
      <w:ind w:left="426" w:hanging="426"/>
      <w:jc w:val="both"/>
    </w:pPr>
    <w:rPr>
      <w:rFonts w:eastAsia="Calibri"/>
    </w:rPr>
  </w:style>
  <w:style w:type="paragraph" w:styleId="BodyTextIndent3">
    <w:name w:val="Body Text Indent 3"/>
    <w:basedOn w:val="Normal"/>
    <w:link w:val="Szvegtrzsbehzssal3Char"/>
    <w:uiPriority w:val="99"/>
    <w:qFormat/>
    <w:rsid w:val="004f54ef"/>
    <w:pPr>
      <w:ind w:left="142" w:hanging="142"/>
      <w:jc w:val="both"/>
    </w:pPr>
    <w:rPr>
      <w:rFonts w:eastAsia="Calibri"/>
    </w:rPr>
  </w:style>
  <w:style w:type="paragraph" w:styleId="BodyText3">
    <w:name w:val="Body Text 3"/>
    <w:basedOn w:val="Normal"/>
    <w:link w:val="Szvegtrzs3Char"/>
    <w:uiPriority w:val="99"/>
    <w:qFormat/>
    <w:rsid w:val="004f54ef"/>
    <w:pPr>
      <w:tabs>
        <w:tab w:val="clear" w:pos="708"/>
        <w:tab w:val="left" w:pos="2268" w:leader="none"/>
      </w:tabs>
      <w:jc w:val="both"/>
    </w:pPr>
    <w:rPr>
      <w:rFonts w:eastAsia="Calibri"/>
      <w:b/>
      <w:bCs/>
    </w:rPr>
  </w:style>
  <w:style w:type="paragraph" w:styleId="ListParagraph">
    <w:name w:val="List Paragraph"/>
    <w:basedOn w:val="Normal"/>
    <w:uiPriority w:val="99"/>
    <w:qFormat/>
    <w:rsid w:val="004f54ef"/>
    <w:pPr>
      <w:ind w:left="720" w:hanging="0"/>
    </w:pPr>
    <w:rPr/>
  </w:style>
  <w:style w:type="paragraph" w:styleId="BalloonText">
    <w:name w:val="Balloon Text"/>
    <w:basedOn w:val="Normal"/>
    <w:link w:val="BuborkszvegChar"/>
    <w:uiPriority w:val="99"/>
    <w:semiHidden/>
    <w:qFormat/>
    <w:rsid w:val="004f54ef"/>
    <w:pPr/>
    <w:rPr>
      <w:rFonts w:ascii="Tahoma" w:hAnsi="Tahoma" w:eastAsia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3C852-BBE4-4F13-8C60-7CF770B2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LibreOffice/7.0.3.1$Windows_X86_64 LibreOffice_project/d7547858d014d4cf69878db179d326fc3483e082</Application>
  <Pages>8</Pages>
  <Words>1650</Words>
  <Characters>12024</Characters>
  <CharactersWithSpaces>13757</CharactersWithSpaces>
  <Paragraphs>144</Paragraphs>
  <Company>Csokonyavisonta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2021-03-10T08:50:00Z</dcterms:created>
  <dc:creator>Körjegyzőség</dc:creator>
  <dc:description/>
  <dc:language>hu-HU</dc:language>
  <cp:lastModifiedBy/>
  <cp:lastPrinted>2021-03-24T11:06:02Z</cp:lastPrinted>
  <dcterms:modified xsi:type="dcterms:W3CDTF">2021-03-24T11:13:24Z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Csokonyavisonta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