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CB" w:rsidRDefault="004D15CB" w:rsidP="0054676D">
      <w:pPr>
        <w:jc w:val="right"/>
        <w:rPr>
          <w:sz w:val="24"/>
          <w:szCs w:val="24"/>
        </w:rPr>
      </w:pPr>
      <w:bookmarkStart w:id="0" w:name="_Hlk488136696"/>
    </w:p>
    <w:p w:rsidR="004D15CB" w:rsidRDefault="004D15CB" w:rsidP="0054676D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számú függelék</w:t>
      </w:r>
    </w:p>
    <w:p w:rsidR="004D15CB" w:rsidRDefault="004D15CB" w:rsidP="0054676D">
      <w:pPr>
        <w:ind w:left="360"/>
        <w:rPr>
          <w:sz w:val="24"/>
          <w:szCs w:val="24"/>
        </w:rPr>
      </w:pPr>
    </w:p>
    <w:p w:rsidR="004D15CB" w:rsidRDefault="004D15CB" w:rsidP="0054676D">
      <w:pPr>
        <w:jc w:val="center"/>
        <w:rPr>
          <w:sz w:val="24"/>
          <w:szCs w:val="24"/>
        </w:rPr>
      </w:pPr>
      <w:r>
        <w:rPr>
          <w:sz w:val="24"/>
          <w:szCs w:val="24"/>
        </w:rPr>
        <w:t>a 16/2017.(IX.13.) önkormányzati rendelethez.</w:t>
      </w:r>
    </w:p>
    <w:p w:rsidR="004D15CB" w:rsidRDefault="004D15CB" w:rsidP="0054676D">
      <w:pPr>
        <w:jc w:val="center"/>
        <w:rPr>
          <w:sz w:val="24"/>
          <w:szCs w:val="24"/>
        </w:rPr>
      </w:pPr>
    </w:p>
    <w:bookmarkEnd w:id="0"/>
    <w:p w:rsidR="004D15CB" w:rsidRDefault="004D15CB" w:rsidP="0054676D">
      <w:pPr>
        <w:jc w:val="center"/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b/>
          <w:sz w:val="24"/>
          <w:szCs w:val="24"/>
        </w:rPr>
      </w:pPr>
      <w:r>
        <w:rPr>
          <w:b/>
          <w:sz w:val="24"/>
          <w:szCs w:val="24"/>
        </w:rPr>
        <w:t>Az önkormányzat intézményeiben a nyersanyagnorma a következő:</w:t>
      </w:r>
    </w:p>
    <w:p w:rsidR="004D15CB" w:rsidRDefault="004D15CB" w:rsidP="0054676D">
      <w:pPr>
        <w:rPr>
          <w:b/>
          <w:sz w:val="24"/>
          <w:szCs w:val="24"/>
        </w:rPr>
      </w:pPr>
    </w:p>
    <w:p w:rsidR="004D15CB" w:rsidRDefault="004D15CB" w:rsidP="0054676D">
      <w:pPr>
        <w:rPr>
          <w:b/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a./  </w:t>
      </w:r>
      <w:r>
        <w:rPr>
          <w:b/>
          <w:sz w:val="24"/>
          <w:szCs w:val="24"/>
          <w:u w:val="single"/>
        </w:rPr>
        <w:t>Bölcsőde</w:t>
      </w:r>
      <w:r>
        <w:rPr>
          <w:sz w:val="24"/>
          <w:szCs w:val="24"/>
        </w:rPr>
        <w:t xml:space="preserve">:  Reggeli:    79 Ft </w:t>
      </w:r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Tízórai:     </w:t>
      </w:r>
      <w:smartTag w:uri="urn:schemas-microsoft-com:office:smarttags" w:element="metricconverter">
        <w:smartTagPr>
          <w:attr w:name="ProductID" w:val="282 Ft"/>
        </w:smartTagPr>
        <w:r>
          <w:rPr>
            <w:sz w:val="24"/>
            <w:szCs w:val="24"/>
          </w:rPr>
          <w:t>45 Ft</w:t>
        </w:r>
      </w:smartTag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Ebéd:      </w:t>
      </w:r>
      <w:smartTag w:uri="urn:schemas-microsoft-com:office:smarttags" w:element="metricconverter">
        <w:smartTagPr>
          <w:attr w:name="ProductID" w:val="282 Ft"/>
        </w:smartTagPr>
        <w:r>
          <w:rPr>
            <w:sz w:val="24"/>
            <w:szCs w:val="24"/>
          </w:rPr>
          <w:t>150 Ft</w:t>
        </w:r>
      </w:smartTag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Uzsonna:    79 Ft </w:t>
      </w:r>
    </w:p>
    <w:p w:rsidR="004D15CB" w:rsidRDefault="004D15CB" w:rsidP="0054676D">
      <w:pPr>
        <w:rPr>
          <w:b/>
          <w:sz w:val="24"/>
          <w:szCs w:val="24"/>
        </w:rPr>
      </w:pPr>
    </w:p>
    <w:p w:rsidR="004D15CB" w:rsidRDefault="004D15CB" w:rsidP="0054676D">
      <w:pPr>
        <w:rPr>
          <w:b/>
          <w:sz w:val="24"/>
          <w:szCs w:val="24"/>
        </w:rPr>
      </w:pPr>
    </w:p>
    <w:p w:rsidR="004D15CB" w:rsidRDefault="004D15CB" w:rsidP="0054676D">
      <w:pPr>
        <w:rPr>
          <w:b/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b./   </w:t>
      </w:r>
      <w:r>
        <w:rPr>
          <w:b/>
          <w:sz w:val="24"/>
          <w:szCs w:val="24"/>
          <w:u w:val="single"/>
        </w:rPr>
        <w:t>Óvoda</w:t>
      </w:r>
      <w:r>
        <w:rPr>
          <w:sz w:val="24"/>
          <w:szCs w:val="24"/>
        </w:rPr>
        <w:t>:  Tízórai:    84 Ft.</w:t>
      </w:r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Ebéd:     </w:t>
      </w:r>
      <w:smartTag w:uri="urn:schemas-microsoft-com:office:smarttags" w:element="metricconverter">
        <w:smartTagPr>
          <w:attr w:name="ProductID" w:val="282 Ft"/>
        </w:smartTagPr>
        <w:r>
          <w:rPr>
            <w:sz w:val="24"/>
            <w:szCs w:val="24"/>
          </w:rPr>
          <w:t>171 Ft</w:t>
        </w:r>
      </w:smartTag>
      <w:r>
        <w:rPr>
          <w:sz w:val="24"/>
          <w:szCs w:val="24"/>
        </w:rPr>
        <w:t xml:space="preserve"> </w:t>
      </w:r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Uzsonna: 84 Ft</w:t>
      </w: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c./  </w:t>
      </w:r>
      <w:r>
        <w:rPr>
          <w:b/>
          <w:sz w:val="24"/>
          <w:szCs w:val="24"/>
          <w:u w:val="single"/>
        </w:rPr>
        <w:t>Iskola</w:t>
      </w:r>
      <w:r>
        <w:rPr>
          <w:sz w:val="24"/>
          <w:szCs w:val="24"/>
        </w:rPr>
        <w:t xml:space="preserve">:   Tízórai:    98 Ft   </w:t>
      </w:r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Ebéd:     218 Ft    </w:t>
      </w:r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Uzsonna: 98 Ft.  </w:t>
      </w: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d./ </w:t>
      </w:r>
      <w:r>
        <w:rPr>
          <w:b/>
          <w:sz w:val="24"/>
          <w:szCs w:val="24"/>
          <w:u w:val="single"/>
        </w:rPr>
        <w:t>Alkalmazottak</w:t>
      </w:r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Ebéd:       </w:t>
      </w:r>
      <w:smartTag w:uri="urn:schemas-microsoft-com:office:smarttags" w:element="metricconverter">
        <w:smartTagPr>
          <w:attr w:name="ProductID" w:val="282 Ft"/>
        </w:smartTagPr>
        <w:r>
          <w:rPr>
            <w:sz w:val="24"/>
            <w:szCs w:val="24"/>
          </w:rPr>
          <w:t>282 Ft</w:t>
        </w:r>
      </w:smartTag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 xml:space="preserve">       Ebéd+tízórai :       402 Ft </w:t>
      </w: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  <w:r>
        <w:rPr>
          <w:sz w:val="24"/>
          <w:szCs w:val="24"/>
        </w:rPr>
        <w:t>E függelékben szereplő forint összegek az ÁFA összegét nem tartalmazzák.</w:t>
      </w: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C31150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t>Előzetes hatásvizsgálat, indoklás, véleményeztetés</w:t>
      </w:r>
    </w:p>
    <w:p w:rsidR="004D15CB" w:rsidRDefault="004D15CB" w:rsidP="0054676D">
      <w:pPr>
        <w:jc w:val="center"/>
        <w:rPr>
          <w:b/>
          <w:sz w:val="24"/>
          <w:szCs w:val="24"/>
        </w:rPr>
      </w:pPr>
    </w:p>
    <w:p w:rsidR="004D15CB" w:rsidRDefault="004D15CB" w:rsidP="0054676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az önkormányzat intézményeiben alkalmazandó nyersanyagnormáról és </w:t>
      </w:r>
    </w:p>
    <w:p w:rsidR="004D15CB" w:rsidRDefault="004D15CB" w:rsidP="0054676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  fizetendő étkezési térítési díjakról szóló 5/2015.(III.31.) önkormányzati rendelet módosításáról</w:t>
      </w:r>
    </w:p>
    <w:p w:rsidR="004D15CB" w:rsidRDefault="004D15CB" w:rsidP="0054676D">
      <w:pPr>
        <w:jc w:val="center"/>
        <w:rPr>
          <w:b/>
          <w:sz w:val="24"/>
          <w:szCs w:val="24"/>
        </w:rPr>
      </w:pPr>
    </w:p>
    <w:p w:rsidR="004D15CB" w:rsidRDefault="004D15CB" w:rsidP="0054676D">
      <w:pPr>
        <w:rPr>
          <w:b/>
          <w:sz w:val="24"/>
          <w:szCs w:val="24"/>
        </w:rPr>
      </w:pPr>
    </w:p>
    <w:p w:rsidR="004D15CB" w:rsidRDefault="004D15CB" w:rsidP="005467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Előzetes hatásvizsgálat</w:t>
      </w:r>
    </w:p>
    <w:p w:rsidR="004D15CB" w:rsidRDefault="004D15CB" w:rsidP="0054676D">
      <w:pPr>
        <w:rPr>
          <w:sz w:val="24"/>
          <w:szCs w:val="24"/>
        </w:rPr>
      </w:pPr>
    </w:p>
    <w:p w:rsidR="004D15CB" w:rsidRDefault="004D15CB" w:rsidP="0054676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 jogalkotásról szóló 2010. évi CXXX. törvény 17. §-a alapján, mint a fenti jogszabály előkészítője az alábbi előzetes hatásvizsgálatot végeztem el a szabályozás várható következményeiről, melyről most tájékoztatom a képviselő-testületet.</w:t>
      </w:r>
    </w:p>
    <w:p w:rsidR="004D15CB" w:rsidRDefault="004D15CB" w:rsidP="0054676D">
      <w:pPr>
        <w:pStyle w:val="BodyText"/>
        <w:rPr>
          <w:sz w:val="24"/>
          <w:szCs w:val="24"/>
        </w:rPr>
      </w:pPr>
    </w:p>
    <w:p w:rsidR="004D15CB" w:rsidRDefault="004D15CB" w:rsidP="0054676D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A tervezett jogszabály hatásai:</w:t>
      </w:r>
    </w:p>
    <w:p w:rsidR="004D15CB" w:rsidRDefault="004D15CB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a) társadalmi, gazdasági, költségvetési hatás:</w:t>
      </w:r>
    </w:p>
    <w:p w:rsidR="004D15CB" w:rsidRDefault="004D15CB" w:rsidP="0054676D">
      <w:pPr>
        <w:pStyle w:val="BodyText"/>
        <w:ind w:left="1260"/>
        <w:rPr>
          <w:sz w:val="24"/>
          <w:szCs w:val="24"/>
        </w:rPr>
      </w:pPr>
      <w:r>
        <w:rPr>
          <w:sz w:val="24"/>
          <w:szCs w:val="24"/>
        </w:rPr>
        <w:t>- társadalmi hatása: jelentős, mivel gyermekek étkeztetését biztosítjuk.</w:t>
      </w:r>
    </w:p>
    <w:p w:rsidR="004D15CB" w:rsidRDefault="004D15CB" w:rsidP="0054676D">
      <w:pPr>
        <w:pStyle w:val="BodyText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- gazdasági hatása: nem mérhető</w:t>
      </w:r>
    </w:p>
    <w:p w:rsidR="004D15CB" w:rsidRDefault="004D15CB" w:rsidP="0054676D">
      <w:pPr>
        <w:pStyle w:val="BodyText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- költségvetési hatása: nem releváns </w:t>
      </w:r>
    </w:p>
    <w:p w:rsidR="004D15CB" w:rsidRDefault="004D15CB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b) környezeti és egészségi következmények:</w:t>
      </w:r>
    </w:p>
    <w:p w:rsidR="004D15CB" w:rsidRDefault="004D15CB" w:rsidP="0054676D">
      <w:pPr>
        <w:pStyle w:val="BodyText"/>
        <w:ind w:left="1260"/>
        <w:rPr>
          <w:sz w:val="24"/>
          <w:szCs w:val="24"/>
        </w:rPr>
      </w:pPr>
      <w:r>
        <w:rPr>
          <w:sz w:val="24"/>
          <w:szCs w:val="24"/>
        </w:rPr>
        <w:t>- nincsenek</w:t>
      </w:r>
    </w:p>
    <w:p w:rsidR="004D15CB" w:rsidRDefault="004D15CB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c) adminisztratív terheket befolyásoló hatások:</w:t>
      </w:r>
    </w:p>
    <w:p w:rsidR="004D15CB" w:rsidRDefault="004D15CB" w:rsidP="0054676D">
      <w:pPr>
        <w:pStyle w:val="BodyText"/>
        <w:ind w:left="1260"/>
        <w:rPr>
          <w:sz w:val="24"/>
          <w:szCs w:val="24"/>
        </w:rPr>
      </w:pPr>
      <w:r>
        <w:rPr>
          <w:sz w:val="24"/>
          <w:szCs w:val="24"/>
        </w:rPr>
        <w:t>- nem releváns.</w:t>
      </w:r>
    </w:p>
    <w:p w:rsidR="004D15CB" w:rsidRDefault="004D15CB" w:rsidP="0054676D">
      <w:pPr>
        <w:pStyle w:val="BodyText"/>
        <w:rPr>
          <w:sz w:val="24"/>
          <w:szCs w:val="24"/>
        </w:rPr>
      </w:pPr>
    </w:p>
    <w:p w:rsidR="004D15CB" w:rsidRDefault="004D15CB" w:rsidP="0054676D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A jogszabály megalkotásának szükségessége:</w:t>
      </w:r>
    </w:p>
    <w:p w:rsidR="004D15CB" w:rsidRDefault="004D15CB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a rendelet megalkotása szükséges, adminisztrációs hiba miatt, illetve ellátási igény jelentkezett.</w:t>
      </w:r>
    </w:p>
    <w:p w:rsidR="004D15CB" w:rsidRDefault="004D15CB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4D15CB" w:rsidRDefault="004D15CB" w:rsidP="0054676D">
      <w:pPr>
        <w:pStyle w:val="BodyText"/>
        <w:rPr>
          <w:sz w:val="24"/>
          <w:szCs w:val="24"/>
        </w:rPr>
      </w:pPr>
    </w:p>
    <w:p w:rsidR="004D15CB" w:rsidRDefault="004D15CB" w:rsidP="0054676D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A jogszabály alkalmazásához szükséges feltételek:</w:t>
      </w:r>
    </w:p>
    <w:p w:rsidR="004D15CB" w:rsidRDefault="004D15CB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a személyi feltétel: rendelkezésre áll. </w:t>
      </w:r>
    </w:p>
    <w:p w:rsidR="004D15CB" w:rsidRDefault="004D15CB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szervezeti feltétel: rendelkezésre áll.</w:t>
      </w:r>
    </w:p>
    <w:p w:rsidR="004D15CB" w:rsidRDefault="004D15CB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tárgyi feltétel: rendelkezésre áll. </w:t>
      </w:r>
    </w:p>
    <w:p w:rsidR="004D15CB" w:rsidRDefault="004D15CB" w:rsidP="0054676D">
      <w:pPr>
        <w:pStyle w:val="BodyText"/>
        <w:rPr>
          <w:sz w:val="24"/>
          <w:szCs w:val="24"/>
        </w:rPr>
      </w:pPr>
    </w:p>
    <w:p w:rsidR="004D15CB" w:rsidRDefault="004D15CB" w:rsidP="0054676D">
      <w:pPr>
        <w:pStyle w:val="BodyText"/>
        <w:rPr>
          <w:sz w:val="24"/>
          <w:szCs w:val="24"/>
        </w:rPr>
      </w:pPr>
    </w:p>
    <w:p w:rsidR="004D15CB" w:rsidRDefault="004D15CB" w:rsidP="0054676D">
      <w:pPr>
        <w:pStyle w:val="Body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Indoklás</w:t>
      </w:r>
    </w:p>
    <w:p w:rsidR="004D15CB" w:rsidRDefault="004D15CB" w:rsidP="0054676D">
      <w:pPr>
        <w:pStyle w:val="BodyText"/>
        <w:rPr>
          <w:sz w:val="24"/>
          <w:szCs w:val="24"/>
        </w:rPr>
      </w:pPr>
    </w:p>
    <w:p w:rsidR="004D15CB" w:rsidRDefault="004D15CB" w:rsidP="0054676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 rendeletnek nincs európai uniós joggal kapcsolatos összehangolási és egyeztetési vonatkozása.</w:t>
      </w:r>
    </w:p>
    <w:p w:rsidR="004D15CB" w:rsidRDefault="004D15CB" w:rsidP="0054676D">
      <w:pPr>
        <w:pStyle w:val="BodyText"/>
        <w:ind w:left="720"/>
        <w:rPr>
          <w:sz w:val="24"/>
          <w:szCs w:val="24"/>
        </w:rPr>
      </w:pPr>
    </w:p>
    <w:p w:rsidR="004D15CB" w:rsidRDefault="004D15CB" w:rsidP="0054676D">
      <w:pPr>
        <w:pStyle w:val="BodyText"/>
        <w:rPr>
          <w:sz w:val="24"/>
          <w:szCs w:val="24"/>
        </w:rPr>
      </w:pPr>
    </w:p>
    <w:p w:rsidR="004D15CB" w:rsidRDefault="004D15CB" w:rsidP="0054676D">
      <w:pPr>
        <w:pStyle w:val="Body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Véleményeztetés</w:t>
      </w:r>
    </w:p>
    <w:p w:rsidR="004D15CB" w:rsidRDefault="004D15CB" w:rsidP="0054676D">
      <w:pPr>
        <w:pStyle w:val="BodyText"/>
        <w:rPr>
          <w:sz w:val="24"/>
          <w:szCs w:val="24"/>
        </w:rPr>
      </w:pPr>
    </w:p>
    <w:p w:rsidR="004D15CB" w:rsidRDefault="004D15CB" w:rsidP="0054676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 rendelet tervezetet:</w:t>
      </w:r>
    </w:p>
    <w:p w:rsidR="004D15CB" w:rsidRDefault="004D15CB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X kötelező véleményeztetési kötelezettség nem terheli</w:t>
      </w:r>
      <w:r>
        <w:rPr>
          <w:sz w:val="24"/>
          <w:szCs w:val="24"/>
        </w:rPr>
        <w:t>.</w:t>
      </w:r>
    </w:p>
    <w:p w:rsidR="004D15CB" w:rsidRDefault="004D15CB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⁫ véleményeztetési kötelezettség terheli.</w:t>
      </w:r>
    </w:p>
    <w:p w:rsidR="004D15CB" w:rsidRDefault="004D15CB" w:rsidP="0054676D">
      <w:pPr>
        <w:pStyle w:val="BodyText"/>
        <w:rPr>
          <w:sz w:val="24"/>
          <w:szCs w:val="24"/>
        </w:rPr>
      </w:pPr>
    </w:p>
    <w:p w:rsidR="004D15CB" w:rsidRDefault="004D15CB" w:rsidP="0054676D">
      <w:pPr>
        <w:pStyle w:val="BodyText"/>
        <w:rPr>
          <w:sz w:val="24"/>
          <w:szCs w:val="24"/>
        </w:rPr>
      </w:pPr>
    </w:p>
    <w:p w:rsidR="004D15CB" w:rsidRDefault="004D15CB" w:rsidP="0054676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Nyúl, 2017. szeptember 5.</w:t>
      </w:r>
    </w:p>
    <w:p w:rsidR="004D15CB" w:rsidRDefault="004D15CB" w:rsidP="0054676D">
      <w:pPr>
        <w:pStyle w:val="BodyText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D15CB" w:rsidRPr="002332B5" w:rsidRDefault="004D15CB" w:rsidP="002332B5">
      <w:pPr>
        <w:pStyle w:val="BodyText"/>
        <w:tabs>
          <w:tab w:val="left" w:pos="5640"/>
          <w:tab w:val="right" w:leader="dot" w:pos="9000"/>
        </w:tabs>
        <w:ind w:left="638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Takács Lajos s.k.</w:t>
      </w:r>
      <w:bookmarkStart w:id="1" w:name="_GoBack"/>
      <w:bookmarkEnd w:id="1"/>
    </w:p>
    <w:sectPr w:rsidR="004D15CB" w:rsidRPr="002332B5" w:rsidSect="0038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66E9A"/>
    <w:multiLevelType w:val="hybridMultilevel"/>
    <w:tmpl w:val="A2A40BBC"/>
    <w:lvl w:ilvl="0" w:tplc="A6C0AB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76D"/>
    <w:rsid w:val="00025847"/>
    <w:rsid w:val="002332B5"/>
    <w:rsid w:val="002D1B90"/>
    <w:rsid w:val="003824F6"/>
    <w:rsid w:val="004D15CB"/>
    <w:rsid w:val="00535EF4"/>
    <w:rsid w:val="0054676D"/>
    <w:rsid w:val="00621C3F"/>
    <w:rsid w:val="006513B0"/>
    <w:rsid w:val="00715E6F"/>
    <w:rsid w:val="00724D59"/>
    <w:rsid w:val="007F0F03"/>
    <w:rsid w:val="007F1BDE"/>
    <w:rsid w:val="00811B50"/>
    <w:rsid w:val="008F539B"/>
    <w:rsid w:val="009B01B6"/>
    <w:rsid w:val="00A806EB"/>
    <w:rsid w:val="00BA266D"/>
    <w:rsid w:val="00C31150"/>
    <w:rsid w:val="00CB3292"/>
    <w:rsid w:val="00CE3630"/>
    <w:rsid w:val="00DB17EC"/>
    <w:rsid w:val="00DE7646"/>
    <w:rsid w:val="00E10C42"/>
    <w:rsid w:val="00E439BC"/>
    <w:rsid w:val="00F25F9D"/>
    <w:rsid w:val="00F90FE4"/>
    <w:rsid w:val="00FB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6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4676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676D"/>
    <w:rPr>
      <w:rFonts w:ascii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5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279</Words>
  <Characters>1931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l ő t e r j e s z t é s</dc:title>
  <dc:subject/>
  <dc:creator>Takács Lajos</dc:creator>
  <cp:keywords/>
  <dc:description/>
  <cp:lastModifiedBy>anett</cp:lastModifiedBy>
  <cp:revision>3</cp:revision>
  <dcterms:created xsi:type="dcterms:W3CDTF">2017-09-18T13:40:00Z</dcterms:created>
  <dcterms:modified xsi:type="dcterms:W3CDTF">2017-09-18T13:40:00Z</dcterms:modified>
</cp:coreProperties>
</file>