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ED" w:rsidRPr="003C65ED" w:rsidRDefault="003C65ED" w:rsidP="003C65E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u-HU"/>
        </w:rPr>
      </w:pPr>
      <w:r w:rsidRPr="003C65ED">
        <w:rPr>
          <w:rFonts w:ascii="Arial" w:eastAsia="Times New Roman" w:hAnsi="Arial" w:cs="Arial"/>
          <w:b/>
          <w:bCs/>
          <w:sz w:val="28"/>
          <w:szCs w:val="24"/>
          <w:lang w:eastAsia="hu-HU"/>
        </w:rPr>
        <w:t>4. függelék a 10/</w:t>
      </w:r>
      <w:r w:rsidRPr="003C65ED">
        <w:rPr>
          <w:rFonts w:ascii="Arial" w:eastAsia="Times New Roman" w:hAnsi="Arial" w:cs="Arial"/>
          <w:b/>
          <w:sz w:val="28"/>
          <w:szCs w:val="28"/>
          <w:lang w:eastAsia="hu-HU"/>
        </w:rPr>
        <w:t>2014. (X.20.) önkormányzati rendelethez</w:t>
      </w:r>
    </w:p>
    <w:p w:rsidR="003C65ED" w:rsidRPr="003C65ED" w:rsidRDefault="003C65ED" w:rsidP="003C65E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hu-HU"/>
        </w:rPr>
      </w:pPr>
    </w:p>
    <w:p w:rsidR="003C65ED" w:rsidRPr="003C65ED" w:rsidRDefault="003C65ED" w:rsidP="003C65ED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12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3C65E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önkormányzat hatályos rendeleteinek jegyzéke</w:t>
      </w:r>
    </w:p>
    <w:p w:rsidR="003C65ED" w:rsidRPr="003C65ED" w:rsidRDefault="003C65ED" w:rsidP="003C65ED">
      <w:pPr>
        <w:spacing w:after="120" w:line="480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3C65ED" w:rsidRPr="003C65ED" w:rsidRDefault="003C65ED" w:rsidP="003C65ED">
      <w:pPr>
        <w:spacing w:after="120" w:line="480" w:lineRule="auto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3C65ED" w:rsidRPr="003C65ED" w:rsidRDefault="003C65ED" w:rsidP="003C65ED">
      <w:pPr>
        <w:spacing w:after="120" w:line="48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 xml:space="preserve">Rendelet száma </w:t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  <w:t>Címe</w:t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</w:r>
      <w:r w:rsidRPr="003C65E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ab/>
        <w:t>Módosítása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1992. évi 13.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helyi önkormányzati beruházások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szabályozásáról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14/1993.(VII.30.)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hirdetési díjakról.</w:t>
      </w:r>
    </w:p>
    <w:p w:rsidR="003C65ED" w:rsidRPr="003C65ED" w:rsidRDefault="003C65ED" w:rsidP="003C65ED">
      <w:pPr>
        <w:spacing w:after="120" w:line="480" w:lineRule="auto"/>
        <w:jc w:val="both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23/1995. (IX.4.)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községi mázsaházról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13/2001. (XI.30.)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7/1999.(VI.18.)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személyi tulajdonú lakóépületekben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az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ár- és belvíz által okozott károk enyhítéséhez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nyújtható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támogatásokról.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7/2001. (III.30.)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A helyi népszavazásról és népi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kezdeményezésről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16/2001. (XI.30.)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A Polgármesteri Hivatalban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foglalkoztatott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 köztisztviselőket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megillető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 szociális, jóléti, kulturális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és egészségügyi juttatásokról, valamint </w:t>
      </w: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a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szociális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 és kegyeleti támogatásokról.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7/2003. (III. 28.)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Az önkormányzat 2002. évi költségvetésének 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lastRenderedPageBreak/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végrehajtásáról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. </w:t>
      </w:r>
    </w:p>
    <w:p w:rsidR="003C65ED" w:rsidRPr="003C65ED" w:rsidRDefault="003C65ED" w:rsidP="003C65ED">
      <w:pPr>
        <w:tabs>
          <w:tab w:val="left" w:pos="2127"/>
          <w:tab w:val="left" w:pos="7797"/>
        </w:tabs>
        <w:spacing w:after="120" w:line="480" w:lineRule="auto"/>
        <w:rPr>
          <w:rFonts w:ascii="Georgia" w:eastAsia="Times New Roman" w:hAnsi="Georgia" w:cs="Arial"/>
          <w:b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16/2003. (XI. 26.)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>A települési folyékony hulladék elszállításáról</w:t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 xml:space="preserve"> </w:t>
      </w:r>
    </w:p>
    <w:p w:rsidR="003C65ED" w:rsidRPr="003C65ED" w:rsidRDefault="003C65ED" w:rsidP="003C65ED">
      <w:pPr>
        <w:tabs>
          <w:tab w:val="left" w:pos="2127"/>
          <w:tab w:val="left" w:pos="7797"/>
        </w:tabs>
        <w:spacing w:after="120" w:line="480" w:lineRule="auto"/>
        <w:ind w:left="2124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És ártalmatlanításáról.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 </w:t>
      </w:r>
    </w:p>
    <w:p w:rsidR="003C65ED" w:rsidRPr="003C65ED" w:rsidRDefault="003C65ED" w:rsidP="003C65ED">
      <w:pPr>
        <w:tabs>
          <w:tab w:val="left" w:pos="2127"/>
          <w:tab w:val="left" w:pos="7797"/>
        </w:tabs>
        <w:spacing w:after="120" w:line="480" w:lineRule="auto"/>
        <w:ind w:left="2124"/>
        <w:rPr>
          <w:rFonts w:ascii="Georgia" w:eastAsia="Times New Roman" w:hAnsi="Georgia" w:cs="Arial"/>
          <w:b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                                                                                     26/2009.(IX.11.)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3/2012. (I.27.)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8/2004. (IV.2.)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A Zagyvarékas Községi Önkormányzat 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>2003. évi költségvetésének végrehajtásáról.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23/2004. (X. 1.)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 xml:space="preserve">Zagyvarékas Települési Hulladékgazdálkodási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>Tervéről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10/2007.(IV.27.)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26/2004. (X.1.) </w:t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  <w:t>Az önkormányzati vagyontárgyak értékesítését,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bCs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>hasznosítását</w:t>
      </w:r>
      <w:proofErr w:type="gramEnd"/>
      <w:r w:rsidRPr="003C65ED">
        <w:rPr>
          <w:rFonts w:ascii="Georgia" w:eastAsia="Times New Roman" w:hAnsi="Georgia" w:cs="Arial"/>
          <w:bCs/>
          <w:sz w:val="24"/>
          <w:szCs w:val="24"/>
          <w:lang w:eastAsia="hu-HU"/>
        </w:rPr>
        <w:t xml:space="preserve"> célzó eljárások helyi szabályairól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15/2005. IV. 29.)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Zagyvarékas Községi Önkormányzat 2004.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évi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költségvetésének végrehajtásáról.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5/2006. (III. 31.)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2005. évi költségvetés végrehajtásáról.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16/2006. (XII.1.)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6/2006. (III.31.)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luxusadó mértékéről.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22/2007. (XII.14.)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7/2009. (I.30.)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1/2007.(I. 26.)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Zagyvarékasi Településrendezési Terv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13/2007.(VIII.31.)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részét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képező Helyi Építési Szabályzat és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14/2009.(V.15.)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Szabályozási Terv megállapításáról.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25/2009. (IX.11.)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1/2012.(I.27.)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11/2013. (VII.02.)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 xml:space="preserve">6/2007. (III. 30.)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2006. évi költségvetésének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.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12/2007. (VI.8.)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települési szilárd hulladékkal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kapcsolatos közszolgáltatásról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ind w:left="1788" w:firstLine="336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Egységes szerkezetben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15/2007.(VIII.31.)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12/2008.(VI.6.)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21/2008. (XII.5.)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26/2009. (IX. 11.)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33/2009. (XI.27.)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14/2010. (X.22.)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18/2010.(XII.22.)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2/2012. (I.27.)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15/2012. (VI.1.)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18/2012. (VI.29.)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6/2013. (III.13.)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4/2008. (III. 28.)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Az önkormányzat 2007. évi költségvetésének </w:t>
      </w:r>
    </w:p>
    <w:p w:rsidR="003C65ED" w:rsidRPr="003C65ED" w:rsidRDefault="003C65ED" w:rsidP="003C65ED">
      <w:pPr>
        <w:spacing w:after="120" w:line="480" w:lineRule="auto"/>
        <w:ind w:left="2124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  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13/2008.(VI.26.)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14/2008. (VI. 27.)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település köztisztaságáról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3/2012.(I.27.)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Egységes szerkezetben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 xml:space="preserve">12/2009. (V. 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Zagyvarékas községben </w:t>
      </w:r>
      <w:proofErr w:type="spell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biztosítottszemélyes</w:t>
      </w:r>
      <w:proofErr w:type="spell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gondoskodást nyújtó ellátásokról,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azok igénybevételéről, valamint a fizetendő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térítési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díjakról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30/2009. (IX.11.)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2/2010. (II.12.)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7/2010. (IV. 30.)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.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2/2011. (I.28.)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12/2011. (V.27.)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6/2012.(II.24.)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27/2012. (XII.14.)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3/2013. (II.20.)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20/2013. (XII.13.)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13/2009. (V. 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2008. évi költségvetésének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17/2009. (VII. 10.)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egyes önkormányzati rendeletek számozásának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megállapításáról</w:t>
      </w:r>
      <w:proofErr w:type="gramEnd"/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22/2009. (IX. 11.)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önkormányzati jelképek (címer és zászló)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alapításának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és használatának rendjéről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26/2009. (IX. 11.)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belső piaci szolgáltatásokról szóló 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2006/123/EK. </w:t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irányelvnek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való megfeleléssel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összefüggő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egyes önkormányzati rendeletek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módosításáról</w:t>
      </w:r>
      <w:proofErr w:type="gramEnd"/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27/2009. (IX. 11.)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közművelődésről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3/2010. (II.12.)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helyi építészeti örökség védelméről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4/2010. (II. 12.)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Ingatlanok helyi egyedi védelem alá helyezéséről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9/2010. (IV.30.)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2009. évi költségvetésének végrehajtásáról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19/2010. (XII.22.)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vállalkozók kommunális adójáról szóló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többszörösen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módosított 11/1995. (V.2.) rendelet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hatályon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kívül helyezéséről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1/2011. (I.28.)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egyes szociális és gyermekvédelmi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ellátások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megállapításának helyi szabályairól.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egységes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szerkezetben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4/2012.(I.27.)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25/2012.(XI.30.)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2/2013. (II.20.)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3/2011. (I.28.)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építményadóról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23/2012.(XI.30.)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8/2011. (IV.29.)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Az önkormányzat 2010. évi költségvetésének </w:t>
      </w:r>
    </w:p>
    <w:p w:rsidR="003C65ED" w:rsidRPr="003C65ED" w:rsidRDefault="003C65ED" w:rsidP="003C65ED">
      <w:pPr>
        <w:spacing w:after="120" w:line="480" w:lineRule="auto"/>
        <w:ind w:left="2124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10/2011. (V.27.)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vásárokról és piacokról.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egységes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szerkezetben 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13/2012. (VI.1.)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9/2013. (V.31.)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>6/2014. (V.30.)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11/2011. (V.27.)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közterület használatáról.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egységes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szerkezetben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3/2012.(I.27.)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12/2012.(VI.1.)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  8/2013. (V.31.)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 13/2013. (IX.12.)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   5/2014. (V.30.)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14/2011. (IX.13.)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és szervei szervezeti és működési szabályzatáról.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7/2012.(II.24.)</w:t>
      </w:r>
    </w:p>
    <w:p w:rsidR="003C65ED" w:rsidRPr="003C65ED" w:rsidRDefault="003C65ED" w:rsidP="003C65ED">
      <w:pPr>
        <w:spacing w:after="120" w:line="480" w:lineRule="auto"/>
        <w:ind w:left="6372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9/2012.(III.30.)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19/2012. (IX.21.)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21/2012.(X.26.)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28/2012. (XII.14.)</w:t>
      </w:r>
    </w:p>
    <w:p w:rsidR="003C65ED" w:rsidRPr="003C65ED" w:rsidRDefault="003C65ED" w:rsidP="003C65ED">
      <w:pPr>
        <w:spacing w:after="120" w:line="480" w:lineRule="auto"/>
        <w:ind w:left="2124" w:hanging="2124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17/2011. (IX.16.)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Az egyes anyakönyvi események </w:t>
      </w:r>
    </w:p>
    <w:p w:rsidR="003C65ED" w:rsidRPr="003C65ED" w:rsidRDefault="003C65ED" w:rsidP="003C65ED">
      <w:pPr>
        <w:spacing w:after="120" w:line="480" w:lineRule="auto"/>
        <w:ind w:left="2124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engedélyezésének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szabályairól, valamint </w:t>
      </w:r>
    </w:p>
    <w:p w:rsidR="003C65ED" w:rsidRPr="003C65ED" w:rsidRDefault="003C65ED" w:rsidP="003C65ED">
      <w:pPr>
        <w:spacing w:after="120" w:line="480" w:lineRule="auto"/>
        <w:ind w:left="2124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a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fizetendő díjak mértékéről.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19/2011. (IX.16.)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Díszpolgári Cím, valamint a Zagyvarékasért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Emlékérem kitüntetés adományozásának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rendjéről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>21/2011. (XI.25.)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települési képviselők tiszteletdíjáról,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költségtérítéséről</w:t>
      </w:r>
      <w:proofErr w:type="gramEnd"/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és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egyéb juttatásáról.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22/2011. (XII.16.)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közüzemi víz és csatornaszolgáltatási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díj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megállapításáról. </w:t>
      </w: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2/2012.(I.27.)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települési szilárd hulladékkal kapcsolatos</w:t>
      </w: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közszolgáltatásról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szóló 12/2007. (VI.8.) </w:t>
      </w: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önkormányzati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rendelet módosítására alkotott</w:t>
      </w: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23/2011. (XII.16.) önkormányzati rendelete</w:t>
      </w: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</w:t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hatályon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kívül helyezésére.</w:t>
      </w: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ind w:left="2124" w:firstLine="6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3/2012. (I.27)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egyes szabálysértési rendelkezéseket tartalmazó</w:t>
      </w: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önkormányzati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rendeletek módosításáról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29/2012. (XII.14.)</w:t>
      </w:r>
    </w:p>
    <w:p w:rsidR="003C65ED" w:rsidRPr="003C65ED" w:rsidRDefault="003C65ED" w:rsidP="003C65ED">
      <w:pPr>
        <w:spacing w:after="0" w:line="240" w:lineRule="auto"/>
        <w:ind w:left="7080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30/2012. (XII.14.) </w:t>
      </w: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11/2012.(IV.27.)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2011. évi költségvetésének</w:t>
      </w: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16/2012. (VI.29.)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Zagyvarékas Község nemzeti vagyonáról</w:t>
      </w:r>
    </w:p>
    <w:p w:rsidR="003C65ED" w:rsidRPr="003C65ED" w:rsidRDefault="003C65ED" w:rsidP="003C65ED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hu-HU"/>
        </w:rPr>
      </w:pP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17/2012. (VI.29.)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helyi iparűzési adóról.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24/2012.(XI.30.)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26/2012. (XI.30.)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talajterhelési díj helyi szabályairól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15/2013.(XI.04.)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1/2013. (II.20.)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alapellátási területi ellátási kötelezettségről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7/2013. (IV.29.)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Az önkormányzat 2012. évi költségvetésének </w:t>
      </w:r>
    </w:p>
    <w:p w:rsidR="003C65ED" w:rsidRPr="003C65ED" w:rsidRDefault="003C65ED" w:rsidP="003C65ED">
      <w:pPr>
        <w:spacing w:after="120" w:line="480" w:lineRule="auto"/>
        <w:ind w:left="1416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19/2013. (XI.28.)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Önkormányzati hatósági hatáskörök átruházásáról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1/2014. (II.06.)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2014. évi költségvetéséről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4/2014. (IV.24. 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Az Önkormányzat 2013. évi költségvetésének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végrehajtásáról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4/2014.(IV.28.)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lastRenderedPageBreak/>
        <w:t>7/2014. (V.30.)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A köztemető fenntartásáról és a temetkezés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rendjéről</w:t>
      </w:r>
      <w:proofErr w:type="gramEnd"/>
    </w:p>
    <w:p w:rsidR="003C65ED" w:rsidRPr="003C65ED" w:rsidRDefault="003C65ED" w:rsidP="003C65ED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8/2014. (VIII.22.)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 xml:space="preserve">a közterületnév és településrész-név megállapításának, </w:t>
      </w:r>
    </w:p>
    <w:p w:rsidR="003C65ED" w:rsidRPr="003C65ED" w:rsidRDefault="003C65ED" w:rsidP="003C65ED">
      <w:pPr>
        <w:spacing w:after="0" w:line="240" w:lineRule="auto"/>
        <w:ind w:left="1416" w:firstLine="708"/>
        <w:jc w:val="both"/>
        <w:rPr>
          <w:rFonts w:ascii="Georgia" w:eastAsia="Times New Roman" w:hAnsi="Georgia" w:cs="Arial"/>
          <w:sz w:val="24"/>
          <w:szCs w:val="24"/>
          <w:lang w:eastAsia="hu-HU"/>
        </w:rPr>
      </w:pP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valamint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a házak számozásának, emléktáblák elhelyezésének</w:t>
      </w:r>
    </w:p>
    <w:p w:rsidR="003C65ED" w:rsidRPr="003C65ED" w:rsidRDefault="003C65ED" w:rsidP="003C65ED">
      <w:pPr>
        <w:spacing w:after="0" w:line="240" w:lineRule="auto"/>
        <w:ind w:left="1416" w:firstLine="708"/>
        <w:jc w:val="both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</w:t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részletes</w:t>
      </w:r>
      <w:proofErr w:type="gram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szabályairól </w:t>
      </w:r>
    </w:p>
    <w:p w:rsidR="003C65ED" w:rsidRPr="003C65ED" w:rsidRDefault="003C65ED" w:rsidP="003C65ED">
      <w:pPr>
        <w:spacing w:after="120" w:line="480" w:lineRule="auto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9/2014. (X.02.) </w:t>
      </w: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ab/>
        <w:t>Szociális célú tűzifa juttatásáról</w:t>
      </w:r>
    </w:p>
    <w:p w:rsidR="003C65ED" w:rsidRPr="003C65ED" w:rsidRDefault="003C65ED" w:rsidP="003C65ED">
      <w:pPr>
        <w:spacing w:after="0" w:line="240" w:lineRule="auto"/>
        <w:ind w:left="4248" w:firstLine="708"/>
        <w:rPr>
          <w:rFonts w:ascii="Georgia" w:eastAsia="Times New Roman" w:hAnsi="Georgia" w:cs="Arial"/>
          <w:sz w:val="24"/>
          <w:szCs w:val="24"/>
          <w:lang w:eastAsia="hu-HU"/>
        </w:rPr>
      </w:pPr>
      <w:proofErr w:type="spell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Jenesné</w:t>
      </w:r>
      <w:proofErr w:type="spellEnd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Paróczai Erika s.k.</w:t>
      </w:r>
    </w:p>
    <w:p w:rsidR="003C65ED" w:rsidRPr="003C65ED" w:rsidRDefault="003C65ED" w:rsidP="003C65ED">
      <w:pPr>
        <w:spacing w:after="120" w:line="480" w:lineRule="auto"/>
        <w:ind w:left="4956" w:firstLine="708"/>
        <w:rPr>
          <w:rFonts w:ascii="Georgia" w:eastAsia="Times New Roman" w:hAnsi="Georgia" w:cs="Arial"/>
          <w:sz w:val="24"/>
          <w:szCs w:val="24"/>
          <w:lang w:eastAsia="hu-HU"/>
        </w:rPr>
      </w:pPr>
      <w:r w:rsidRPr="003C65ED">
        <w:rPr>
          <w:rFonts w:ascii="Georgia" w:eastAsia="Times New Roman" w:hAnsi="Georgia" w:cs="Arial"/>
          <w:sz w:val="24"/>
          <w:szCs w:val="24"/>
          <w:lang w:eastAsia="hu-HU"/>
        </w:rPr>
        <w:t xml:space="preserve"> </w:t>
      </w:r>
      <w:proofErr w:type="gramStart"/>
      <w:r w:rsidRPr="003C65ED">
        <w:rPr>
          <w:rFonts w:ascii="Georgia" w:eastAsia="Times New Roman" w:hAnsi="Georgia" w:cs="Arial"/>
          <w:sz w:val="24"/>
          <w:szCs w:val="24"/>
          <w:lang w:eastAsia="hu-HU"/>
        </w:rPr>
        <w:t>jegyző</w:t>
      </w:r>
      <w:proofErr w:type="gramEnd"/>
    </w:p>
    <w:p w:rsidR="00203ED0" w:rsidRDefault="00203ED0">
      <w:bookmarkStart w:id="0" w:name="_GoBack"/>
      <w:bookmarkEnd w:id="0"/>
    </w:p>
    <w:sectPr w:rsidR="0020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ED"/>
    <w:rsid w:val="00203ED0"/>
    <w:rsid w:val="003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807</Words>
  <Characters>5569</Characters>
  <Application>Microsoft Office Word</Application>
  <DocSecurity>0</DocSecurity>
  <Lines>46</Lines>
  <Paragraphs>12</Paragraphs>
  <ScaleCrop>false</ScaleCrop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2017-05-23T14:34:00Z</dcterms:created>
  <dcterms:modified xsi:type="dcterms:W3CDTF">2017-05-23T14:35:00Z</dcterms:modified>
</cp:coreProperties>
</file>