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1E" w:rsidRPr="00AC039B" w:rsidRDefault="001F2B1E" w:rsidP="001F2B1E">
      <w:pPr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lang w:eastAsia="ar-SA"/>
        </w:rPr>
        <w:t>1. függelék a 26/2017. (XII.1.) Önkormányzati rendelethez</w:t>
      </w:r>
    </w:p>
    <w:p w:rsidR="001F2B1E" w:rsidRPr="00FB10B4" w:rsidRDefault="001F2B1E" w:rsidP="001F2B1E">
      <w:pPr>
        <w:spacing w:after="120"/>
        <w:jc w:val="center"/>
        <w:rPr>
          <w:rFonts w:ascii="Times New Roman" w:hAnsi="Times New Roman" w:cs="Times New Roman"/>
          <w:b/>
          <w:sz w:val="20"/>
        </w:rPr>
      </w:pPr>
      <w:r w:rsidRPr="00FB10B4">
        <w:rPr>
          <w:rFonts w:ascii="Times New Roman" w:hAnsi="Times New Roman" w:cs="Times New Roman"/>
          <w:b/>
          <w:sz w:val="20"/>
        </w:rPr>
        <w:t>Balatonalmádi területén javasolt növények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jc w:val="both"/>
        <w:rPr>
          <w:rStyle w:val="CharacterStyle2"/>
          <w:b/>
          <w:bCs/>
          <w:spacing w:val="2"/>
          <w:lang w:eastAsia="en-US"/>
        </w:rPr>
      </w:pPr>
      <w:r w:rsidRPr="00FB10B4">
        <w:rPr>
          <w:rStyle w:val="CharacterStyle2"/>
          <w:b/>
          <w:bCs/>
          <w:spacing w:val="2"/>
        </w:rPr>
        <w:t>A lakóterület</w:t>
      </w:r>
      <w:r w:rsidRPr="00FB10B4">
        <w:rPr>
          <w:rStyle w:val="CharacterStyle2"/>
          <w:b/>
          <w:bCs/>
          <w:spacing w:val="2"/>
          <w:lang w:eastAsia="en-US"/>
        </w:rPr>
        <w:t xml:space="preserve"> kertje: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Gyepterületek: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francia</w:t>
      </w:r>
      <w:proofErr w:type="gramEnd"/>
      <w:r w:rsidRPr="00FB10B4">
        <w:rPr>
          <w:sz w:val="20"/>
          <w:szCs w:val="20"/>
        </w:rPr>
        <w:t xml:space="preserve"> perje (</w:t>
      </w:r>
      <w:proofErr w:type="spellStart"/>
      <w:r w:rsidRPr="00FB10B4">
        <w:rPr>
          <w:sz w:val="20"/>
          <w:szCs w:val="20"/>
        </w:rPr>
        <w:t>Arrhenatherumelatius</w:t>
      </w:r>
      <w:proofErr w:type="spellEnd"/>
      <w:r w:rsidRPr="00FB10B4">
        <w:rPr>
          <w:sz w:val="20"/>
          <w:szCs w:val="20"/>
        </w:rPr>
        <w:t>), karcsú fényperje (</w:t>
      </w:r>
      <w:proofErr w:type="spellStart"/>
      <w:r w:rsidRPr="00FB10B4">
        <w:rPr>
          <w:sz w:val="20"/>
          <w:szCs w:val="20"/>
        </w:rPr>
        <w:t>Koeleriacristata</w:t>
      </w:r>
      <w:proofErr w:type="spellEnd"/>
      <w:r w:rsidRPr="00FB10B4">
        <w:rPr>
          <w:sz w:val="20"/>
          <w:szCs w:val="20"/>
        </w:rPr>
        <w:t>), prémes gyöngyperje (</w:t>
      </w:r>
      <w:proofErr w:type="spellStart"/>
      <w:r w:rsidRPr="00FB10B4">
        <w:rPr>
          <w:sz w:val="20"/>
          <w:szCs w:val="20"/>
        </w:rPr>
        <w:t>Melicaciliate</w:t>
      </w:r>
      <w:proofErr w:type="spellEnd"/>
      <w:r w:rsidRPr="00FB10B4">
        <w:rPr>
          <w:sz w:val="20"/>
          <w:szCs w:val="20"/>
        </w:rPr>
        <w:t>), sziklai csenkesz (</w:t>
      </w:r>
      <w:proofErr w:type="spellStart"/>
      <w:r w:rsidRPr="00FB10B4">
        <w:rPr>
          <w:sz w:val="20"/>
          <w:szCs w:val="20"/>
        </w:rPr>
        <w:t>Festucapseudodalmatica</w:t>
      </w:r>
      <w:proofErr w:type="spellEnd"/>
      <w:r w:rsidRPr="00FB10B4">
        <w:rPr>
          <w:sz w:val="20"/>
          <w:szCs w:val="20"/>
        </w:rPr>
        <w:t>), kései perje (</w:t>
      </w:r>
      <w:proofErr w:type="spellStart"/>
      <w:r w:rsidRPr="00FB10B4">
        <w:rPr>
          <w:sz w:val="20"/>
          <w:szCs w:val="20"/>
        </w:rPr>
        <w:t>Cleistogenesserotina</w:t>
      </w:r>
      <w:proofErr w:type="spellEnd"/>
      <w:r w:rsidRPr="00FB10B4">
        <w:rPr>
          <w:sz w:val="20"/>
          <w:szCs w:val="20"/>
        </w:rPr>
        <w:t>), vékony csenkesz (</w:t>
      </w:r>
      <w:proofErr w:type="spellStart"/>
      <w:r w:rsidRPr="00FB10B4">
        <w:rPr>
          <w:sz w:val="20"/>
          <w:szCs w:val="20"/>
        </w:rPr>
        <w:t>Festucavalesiaca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A fű felületét apró növésű lágyszárúak díszíthetik: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százszorszép</w:t>
      </w:r>
      <w:proofErr w:type="gramEnd"/>
      <w:r w:rsidRPr="00FB10B4">
        <w:rPr>
          <w:sz w:val="20"/>
          <w:szCs w:val="20"/>
        </w:rPr>
        <w:t xml:space="preserve"> (Bellis </w:t>
      </w:r>
      <w:proofErr w:type="spellStart"/>
      <w:r w:rsidRPr="00FB10B4">
        <w:rPr>
          <w:sz w:val="20"/>
          <w:szCs w:val="20"/>
        </w:rPr>
        <w:t>perennis</w:t>
      </w:r>
      <w:proofErr w:type="spellEnd"/>
      <w:r w:rsidRPr="00FB10B4">
        <w:rPr>
          <w:sz w:val="20"/>
          <w:szCs w:val="20"/>
        </w:rPr>
        <w:t>), vajszínű ördögszem (</w:t>
      </w:r>
      <w:proofErr w:type="spellStart"/>
      <w:r w:rsidRPr="00FB10B4">
        <w:rPr>
          <w:sz w:val="20"/>
          <w:szCs w:val="20"/>
        </w:rPr>
        <w:t>Scabiosaocroleuca</w:t>
      </w:r>
      <w:proofErr w:type="spellEnd"/>
      <w:r w:rsidRPr="00FB10B4">
        <w:rPr>
          <w:sz w:val="20"/>
          <w:szCs w:val="20"/>
        </w:rPr>
        <w:t>), kakukkfű (</w:t>
      </w:r>
      <w:proofErr w:type="spellStart"/>
      <w:r w:rsidRPr="00FB10B4">
        <w:rPr>
          <w:sz w:val="20"/>
          <w:szCs w:val="20"/>
        </w:rPr>
        <w:t>Thymussp</w:t>
      </w:r>
      <w:proofErr w:type="spellEnd"/>
      <w:r w:rsidRPr="00FB10B4">
        <w:rPr>
          <w:sz w:val="20"/>
          <w:szCs w:val="20"/>
        </w:rPr>
        <w:t>), veronika fajok (</w:t>
      </w:r>
      <w:proofErr w:type="spellStart"/>
      <w:r w:rsidRPr="00FB10B4">
        <w:rPr>
          <w:sz w:val="20"/>
          <w:szCs w:val="20"/>
        </w:rPr>
        <w:t>Veronicasp</w:t>
      </w:r>
      <w:proofErr w:type="spellEnd"/>
      <w:r w:rsidRPr="00FB10B4">
        <w:rPr>
          <w:sz w:val="20"/>
          <w:szCs w:val="20"/>
        </w:rPr>
        <w:t xml:space="preserve">), hasznos </w:t>
      </w:r>
      <w:proofErr w:type="spellStart"/>
      <w:r w:rsidRPr="00FB10B4">
        <w:rPr>
          <w:sz w:val="20"/>
          <w:szCs w:val="20"/>
        </w:rPr>
        <w:t>földitömjén</w:t>
      </w:r>
      <w:proofErr w:type="spell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Pimpinellasaxifraga</w:t>
      </w:r>
      <w:proofErr w:type="spellEnd"/>
      <w:r w:rsidRPr="00FB10B4">
        <w:rPr>
          <w:sz w:val="20"/>
          <w:szCs w:val="20"/>
        </w:rPr>
        <w:t>), fehér here (</w:t>
      </w:r>
      <w:proofErr w:type="spellStart"/>
      <w:r w:rsidRPr="00FB10B4">
        <w:rPr>
          <w:sz w:val="20"/>
          <w:szCs w:val="20"/>
        </w:rPr>
        <w:t>Trifoliumrepens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spacing w:val="4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A gyep széleinél, vagy kevésbé taposott foltokban a környék szép vadvirágai telepíthetők: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hóvirág</w:t>
      </w:r>
      <w:proofErr w:type="gram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Galanthusnivalis</w:t>
      </w:r>
      <w:proofErr w:type="spellEnd"/>
      <w:r w:rsidRPr="00FB10B4">
        <w:rPr>
          <w:sz w:val="20"/>
          <w:szCs w:val="20"/>
        </w:rPr>
        <w:t>), széles levelű salamonpecsét (</w:t>
      </w:r>
      <w:proofErr w:type="spellStart"/>
      <w:r w:rsidRPr="00FB10B4">
        <w:rPr>
          <w:sz w:val="20"/>
          <w:szCs w:val="20"/>
        </w:rPr>
        <w:t>Polygonatumlatifolium</w:t>
      </w:r>
      <w:proofErr w:type="spellEnd"/>
      <w:r w:rsidRPr="00FB10B4">
        <w:rPr>
          <w:sz w:val="20"/>
          <w:szCs w:val="20"/>
        </w:rPr>
        <w:t xml:space="preserve">), illatos ibolya (Viola </w:t>
      </w:r>
      <w:proofErr w:type="spellStart"/>
      <w:r w:rsidRPr="00FB10B4">
        <w:rPr>
          <w:sz w:val="20"/>
          <w:szCs w:val="20"/>
        </w:rPr>
        <w:t>odorata</w:t>
      </w:r>
      <w:proofErr w:type="spellEnd"/>
      <w:r w:rsidRPr="00FB10B4">
        <w:rPr>
          <w:sz w:val="20"/>
          <w:szCs w:val="20"/>
        </w:rPr>
        <w:t>), gyöngyvirág (</w:t>
      </w:r>
      <w:proofErr w:type="spellStart"/>
      <w:r w:rsidRPr="00FB10B4">
        <w:rPr>
          <w:sz w:val="20"/>
          <w:szCs w:val="20"/>
        </w:rPr>
        <w:t>Convallariamajalis</w:t>
      </w:r>
      <w:proofErr w:type="spellEnd"/>
      <w:r w:rsidRPr="00FB10B4">
        <w:rPr>
          <w:sz w:val="20"/>
          <w:szCs w:val="20"/>
        </w:rPr>
        <w:t xml:space="preserve">), télizöld </w:t>
      </w:r>
      <w:proofErr w:type="spellStart"/>
      <w:r w:rsidRPr="00FB10B4">
        <w:rPr>
          <w:sz w:val="20"/>
          <w:szCs w:val="20"/>
        </w:rPr>
        <w:t>meténg</w:t>
      </w:r>
      <w:proofErr w:type="spell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Vinca</w:t>
      </w:r>
      <w:proofErr w:type="spellEnd"/>
      <w:r w:rsidRPr="00FB10B4">
        <w:rPr>
          <w:sz w:val="20"/>
          <w:szCs w:val="20"/>
        </w:rPr>
        <w:t xml:space="preserve"> minor)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Alacsony növésű szegélyvirágok: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spellStart"/>
      <w:proofErr w:type="gramStart"/>
      <w:r w:rsidRPr="00FB10B4">
        <w:rPr>
          <w:sz w:val="20"/>
          <w:szCs w:val="20"/>
        </w:rPr>
        <w:t>pocsinrózsa</w:t>
      </w:r>
      <w:proofErr w:type="spell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Portulacagrandiflora</w:t>
      </w:r>
      <w:proofErr w:type="spellEnd"/>
      <w:r w:rsidRPr="00FB10B4">
        <w:rPr>
          <w:sz w:val="20"/>
          <w:szCs w:val="20"/>
        </w:rPr>
        <w:t>), petúnia (</w:t>
      </w:r>
      <w:proofErr w:type="spellStart"/>
      <w:r w:rsidRPr="00FB10B4">
        <w:rPr>
          <w:sz w:val="20"/>
          <w:szCs w:val="20"/>
        </w:rPr>
        <w:t>Petuniahybrida</w:t>
      </w:r>
      <w:proofErr w:type="spellEnd"/>
      <w:r w:rsidRPr="00FB10B4">
        <w:rPr>
          <w:sz w:val="20"/>
          <w:szCs w:val="20"/>
        </w:rPr>
        <w:t xml:space="preserve">) árvácska (Viola </w:t>
      </w:r>
      <w:proofErr w:type="spellStart"/>
      <w:r w:rsidRPr="00FB10B4">
        <w:rPr>
          <w:sz w:val="20"/>
          <w:szCs w:val="20"/>
        </w:rPr>
        <w:t>wittrockiana</w:t>
      </w:r>
      <w:proofErr w:type="spellEnd"/>
      <w:r w:rsidRPr="00FB10B4">
        <w:rPr>
          <w:sz w:val="20"/>
          <w:szCs w:val="20"/>
        </w:rPr>
        <w:t>), körömvirág (</w:t>
      </w:r>
      <w:proofErr w:type="spellStart"/>
      <w:r w:rsidRPr="00FB10B4">
        <w:rPr>
          <w:sz w:val="20"/>
          <w:szCs w:val="20"/>
        </w:rPr>
        <w:t>Calendulaoficinalis</w:t>
      </w:r>
      <w:proofErr w:type="spellEnd"/>
      <w:r w:rsidRPr="00FB10B4">
        <w:rPr>
          <w:sz w:val="20"/>
          <w:szCs w:val="20"/>
        </w:rPr>
        <w:t>) jácintok (</w:t>
      </w:r>
      <w:proofErr w:type="spellStart"/>
      <w:r w:rsidRPr="00FB10B4">
        <w:rPr>
          <w:sz w:val="20"/>
          <w:szCs w:val="20"/>
        </w:rPr>
        <w:t>Hyacinthussp</w:t>
      </w:r>
      <w:proofErr w:type="spellEnd"/>
      <w:r w:rsidRPr="00FB10B4">
        <w:rPr>
          <w:sz w:val="20"/>
          <w:szCs w:val="20"/>
        </w:rPr>
        <w:t xml:space="preserve">), lila sáfrány (Crocus </w:t>
      </w:r>
      <w:proofErr w:type="spellStart"/>
      <w:r w:rsidRPr="00FB10B4">
        <w:rPr>
          <w:sz w:val="20"/>
          <w:szCs w:val="20"/>
        </w:rPr>
        <w:t>vernus</w:t>
      </w:r>
      <w:proofErr w:type="spellEnd"/>
      <w:r w:rsidRPr="00FB10B4">
        <w:rPr>
          <w:sz w:val="20"/>
          <w:szCs w:val="20"/>
        </w:rPr>
        <w:t>), fehér nárcisz (</w:t>
      </w:r>
      <w:proofErr w:type="spellStart"/>
      <w:r w:rsidRPr="00FB10B4">
        <w:rPr>
          <w:sz w:val="20"/>
          <w:szCs w:val="20"/>
        </w:rPr>
        <w:t>Narcissuspoeticus</w:t>
      </w:r>
      <w:proofErr w:type="spellEnd"/>
      <w:r w:rsidRPr="00FB10B4">
        <w:rPr>
          <w:sz w:val="20"/>
          <w:szCs w:val="20"/>
        </w:rPr>
        <w:t xml:space="preserve">), aranysáfrány (Crocus </w:t>
      </w:r>
      <w:proofErr w:type="spellStart"/>
      <w:r w:rsidRPr="00FB10B4">
        <w:rPr>
          <w:sz w:val="20"/>
          <w:szCs w:val="20"/>
        </w:rPr>
        <w:t>aureus</w:t>
      </w:r>
      <w:proofErr w:type="spellEnd"/>
      <w:r w:rsidRPr="00FB10B4">
        <w:rPr>
          <w:sz w:val="20"/>
          <w:szCs w:val="20"/>
        </w:rPr>
        <w:t xml:space="preserve">), csupros nárcisz (N. </w:t>
      </w:r>
      <w:proofErr w:type="spellStart"/>
      <w:r w:rsidRPr="00FB10B4">
        <w:rPr>
          <w:sz w:val="20"/>
          <w:szCs w:val="20"/>
        </w:rPr>
        <w:t>pseudonarcissus</w:t>
      </w:r>
      <w:proofErr w:type="spellEnd"/>
      <w:r w:rsidRPr="00FB10B4">
        <w:rPr>
          <w:sz w:val="20"/>
          <w:szCs w:val="20"/>
        </w:rPr>
        <w:t>), kék nőszirom (</w:t>
      </w:r>
      <w:proofErr w:type="spellStart"/>
      <w:r w:rsidRPr="00FB10B4">
        <w:rPr>
          <w:sz w:val="20"/>
          <w:szCs w:val="20"/>
        </w:rPr>
        <w:t>Irisgermanica</w:t>
      </w:r>
      <w:proofErr w:type="spellEnd"/>
      <w:r w:rsidRPr="00FB10B4">
        <w:rPr>
          <w:sz w:val="20"/>
          <w:szCs w:val="20"/>
        </w:rPr>
        <w:t xml:space="preserve">), </w:t>
      </w:r>
      <w:proofErr w:type="spellStart"/>
      <w:r w:rsidRPr="00FB10B4">
        <w:rPr>
          <w:sz w:val="20"/>
          <w:szCs w:val="20"/>
        </w:rPr>
        <w:t>tazetta</w:t>
      </w:r>
      <w:proofErr w:type="spellEnd"/>
      <w:r w:rsidRPr="00FB10B4">
        <w:rPr>
          <w:sz w:val="20"/>
          <w:szCs w:val="20"/>
        </w:rPr>
        <w:t xml:space="preserve"> nárcisz (N. </w:t>
      </w:r>
      <w:proofErr w:type="spellStart"/>
      <w:r w:rsidRPr="00FB10B4">
        <w:rPr>
          <w:sz w:val="20"/>
          <w:szCs w:val="20"/>
        </w:rPr>
        <w:t>tazetta</w:t>
      </w:r>
      <w:proofErr w:type="spellEnd"/>
      <w:r w:rsidRPr="00FB10B4">
        <w:rPr>
          <w:sz w:val="20"/>
          <w:szCs w:val="20"/>
        </w:rPr>
        <w:t xml:space="preserve">), pompás nárcisz (N. </w:t>
      </w:r>
      <w:proofErr w:type="spellStart"/>
      <w:r w:rsidRPr="00FB10B4">
        <w:rPr>
          <w:sz w:val="20"/>
          <w:szCs w:val="20"/>
        </w:rPr>
        <w:t>incomparabilis</w:t>
      </w:r>
      <w:proofErr w:type="spellEnd"/>
      <w:r w:rsidRPr="00FB10B4">
        <w:rPr>
          <w:sz w:val="20"/>
          <w:szCs w:val="20"/>
        </w:rPr>
        <w:t xml:space="preserve">), </w:t>
      </w:r>
      <w:proofErr w:type="spellStart"/>
      <w:r w:rsidRPr="00FB10B4">
        <w:rPr>
          <w:sz w:val="20"/>
          <w:szCs w:val="20"/>
        </w:rPr>
        <w:t>törökszegfű</w:t>
      </w:r>
      <w:proofErr w:type="spell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Dianthusbarbatus</w:t>
      </w:r>
      <w:proofErr w:type="spellEnd"/>
      <w:r w:rsidRPr="00FB10B4">
        <w:rPr>
          <w:sz w:val="20"/>
          <w:szCs w:val="20"/>
        </w:rPr>
        <w:t>). törpe bársonyvirág (</w:t>
      </w:r>
      <w:proofErr w:type="spellStart"/>
      <w:r w:rsidRPr="00FB10B4">
        <w:rPr>
          <w:sz w:val="20"/>
          <w:szCs w:val="20"/>
        </w:rPr>
        <w:t>Tagetespatula</w:t>
      </w:r>
      <w:proofErr w:type="spellEnd"/>
      <w:r w:rsidRPr="00FB10B4">
        <w:rPr>
          <w:sz w:val="20"/>
          <w:szCs w:val="20"/>
        </w:rPr>
        <w:t>), kerti szegfű (</w:t>
      </w:r>
      <w:proofErr w:type="spellStart"/>
      <w:r w:rsidRPr="00FB10B4">
        <w:rPr>
          <w:sz w:val="20"/>
          <w:szCs w:val="20"/>
        </w:rPr>
        <w:t>Dianthuscaryophyllus</w:t>
      </w:r>
      <w:proofErr w:type="spellEnd"/>
      <w:r w:rsidRPr="00FB10B4">
        <w:rPr>
          <w:sz w:val="20"/>
          <w:szCs w:val="20"/>
        </w:rPr>
        <w:t>), búzavirág (</w:t>
      </w:r>
      <w:proofErr w:type="spellStart"/>
      <w:r w:rsidRPr="00FB10B4">
        <w:rPr>
          <w:sz w:val="20"/>
          <w:szCs w:val="20"/>
        </w:rPr>
        <w:t>Centaureacyanus</w:t>
      </w:r>
      <w:proofErr w:type="spellEnd"/>
      <w:r w:rsidRPr="00FB10B4">
        <w:rPr>
          <w:sz w:val="20"/>
          <w:szCs w:val="20"/>
        </w:rPr>
        <w:t xml:space="preserve">), </w:t>
      </w:r>
      <w:proofErr w:type="spellStart"/>
      <w:r w:rsidRPr="00FB10B4">
        <w:rPr>
          <w:sz w:val="20"/>
          <w:szCs w:val="20"/>
        </w:rPr>
        <w:t>lenvirágúhabszekfű</w:t>
      </w:r>
      <w:proofErr w:type="spellEnd"/>
      <w:r w:rsidRPr="00FB10B4">
        <w:rPr>
          <w:sz w:val="20"/>
          <w:szCs w:val="20"/>
        </w:rPr>
        <w:t xml:space="preserve"> (D. </w:t>
      </w:r>
      <w:proofErr w:type="spellStart"/>
      <w:r w:rsidRPr="00FB10B4">
        <w:rPr>
          <w:sz w:val="20"/>
          <w:szCs w:val="20"/>
        </w:rPr>
        <w:t>plutnaris</w:t>
      </w:r>
      <w:proofErr w:type="spellEnd"/>
      <w:r w:rsidRPr="00FB10B4">
        <w:rPr>
          <w:sz w:val="20"/>
          <w:szCs w:val="20"/>
        </w:rPr>
        <w:t>), szikla-bőrlevél (</w:t>
      </w:r>
      <w:proofErr w:type="spellStart"/>
      <w:r w:rsidRPr="00FB10B4">
        <w:rPr>
          <w:sz w:val="20"/>
          <w:szCs w:val="20"/>
        </w:rPr>
        <w:t>Bergeniacrassifolia</w:t>
      </w:r>
      <w:proofErr w:type="spellEnd"/>
      <w:r w:rsidRPr="00FB10B4">
        <w:rPr>
          <w:sz w:val="20"/>
          <w:szCs w:val="20"/>
        </w:rPr>
        <w:t>)</w:t>
      </w:r>
      <w:proofErr w:type="gramEnd"/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Magasabb kerti virágok: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nefelejcs (</w:t>
      </w:r>
      <w:proofErr w:type="spellStart"/>
      <w:r w:rsidRPr="00FB10B4">
        <w:rPr>
          <w:sz w:val="20"/>
          <w:szCs w:val="20"/>
        </w:rPr>
        <w:t>Myosotissilvestris</w:t>
      </w:r>
      <w:proofErr w:type="spellEnd"/>
      <w:r w:rsidRPr="00FB10B4">
        <w:rPr>
          <w:sz w:val="20"/>
          <w:szCs w:val="20"/>
        </w:rPr>
        <w:t>), tornyos harangvirág (</w:t>
      </w:r>
      <w:proofErr w:type="spellStart"/>
      <w:r w:rsidRPr="00FB10B4">
        <w:rPr>
          <w:sz w:val="20"/>
          <w:szCs w:val="20"/>
        </w:rPr>
        <w:t>Campanulapyramidalis</w:t>
      </w:r>
      <w:proofErr w:type="spellEnd"/>
      <w:r w:rsidRPr="00FB10B4">
        <w:rPr>
          <w:sz w:val="20"/>
          <w:szCs w:val="20"/>
        </w:rPr>
        <w:t>), őszirózsa fajok (</w:t>
      </w:r>
      <w:proofErr w:type="spellStart"/>
      <w:r w:rsidRPr="00FB10B4">
        <w:rPr>
          <w:sz w:val="20"/>
          <w:szCs w:val="20"/>
        </w:rPr>
        <w:t>Astersp</w:t>
      </w:r>
      <w:proofErr w:type="spellEnd"/>
      <w:r w:rsidRPr="00FB10B4">
        <w:rPr>
          <w:sz w:val="20"/>
          <w:szCs w:val="20"/>
        </w:rPr>
        <w:t>), ezüstös pipitér (</w:t>
      </w:r>
      <w:proofErr w:type="spellStart"/>
      <w:r w:rsidRPr="00FB10B4">
        <w:rPr>
          <w:sz w:val="20"/>
          <w:szCs w:val="20"/>
        </w:rPr>
        <w:t>Anthemisbiebersteiniaia</w:t>
      </w:r>
      <w:proofErr w:type="spellEnd"/>
      <w:r w:rsidRPr="00FB10B4">
        <w:rPr>
          <w:sz w:val="20"/>
          <w:szCs w:val="20"/>
        </w:rPr>
        <w:t>), kerti margaréta (</w:t>
      </w:r>
      <w:proofErr w:type="spellStart"/>
      <w:r w:rsidRPr="00FB10B4">
        <w:rPr>
          <w:sz w:val="20"/>
          <w:szCs w:val="20"/>
        </w:rPr>
        <w:t>Chrysanthhemum</w:t>
      </w:r>
      <w:proofErr w:type="spellEnd"/>
      <w:r w:rsidRPr="00FB10B4">
        <w:rPr>
          <w:sz w:val="20"/>
          <w:szCs w:val="20"/>
        </w:rPr>
        <w:t xml:space="preserve"> maximum), estike (</w:t>
      </w:r>
      <w:proofErr w:type="spellStart"/>
      <w:r w:rsidRPr="00FB10B4">
        <w:rPr>
          <w:sz w:val="20"/>
          <w:szCs w:val="20"/>
        </w:rPr>
        <w:t>Hesperismatronalis</w:t>
      </w:r>
      <w:proofErr w:type="spellEnd"/>
      <w:r w:rsidRPr="00FB10B4">
        <w:rPr>
          <w:sz w:val="20"/>
          <w:szCs w:val="20"/>
        </w:rPr>
        <w:t xml:space="preserve">), mezei margaréta (C. </w:t>
      </w:r>
      <w:proofErr w:type="spellStart"/>
      <w:r w:rsidRPr="00FB10B4">
        <w:rPr>
          <w:sz w:val="20"/>
          <w:szCs w:val="20"/>
        </w:rPr>
        <w:t>leucantheum</w:t>
      </w:r>
      <w:proofErr w:type="spellEnd"/>
      <w:r w:rsidRPr="00FB10B4">
        <w:rPr>
          <w:sz w:val="20"/>
          <w:szCs w:val="20"/>
        </w:rPr>
        <w:t>), erdei szellőrózsa (</w:t>
      </w:r>
      <w:proofErr w:type="spellStart"/>
      <w:r w:rsidRPr="00FB10B4">
        <w:rPr>
          <w:sz w:val="20"/>
          <w:szCs w:val="20"/>
        </w:rPr>
        <w:t>Anemonesylvestris</w:t>
      </w:r>
      <w:proofErr w:type="spellEnd"/>
      <w:r w:rsidRPr="00FB10B4">
        <w:rPr>
          <w:sz w:val="20"/>
          <w:szCs w:val="20"/>
        </w:rPr>
        <w:t>), kerti szarkaláb (</w:t>
      </w:r>
      <w:proofErr w:type="spellStart"/>
      <w:r w:rsidRPr="00FB10B4">
        <w:rPr>
          <w:sz w:val="20"/>
          <w:szCs w:val="20"/>
        </w:rPr>
        <w:t>Consolidaajacis</w:t>
      </w:r>
      <w:proofErr w:type="spellEnd"/>
      <w:r w:rsidRPr="00FB10B4">
        <w:rPr>
          <w:sz w:val="20"/>
          <w:szCs w:val="20"/>
        </w:rPr>
        <w:t>), fehér liliom (</w:t>
      </w:r>
      <w:proofErr w:type="spellStart"/>
      <w:r w:rsidRPr="00FB10B4">
        <w:rPr>
          <w:sz w:val="20"/>
          <w:szCs w:val="20"/>
        </w:rPr>
        <w:t>Liliumcandidum</w:t>
      </w:r>
      <w:proofErr w:type="spellEnd"/>
      <w:r w:rsidRPr="00FB10B4">
        <w:rPr>
          <w:sz w:val="20"/>
          <w:szCs w:val="20"/>
        </w:rPr>
        <w:t>), japán árnyliliom (</w:t>
      </w:r>
      <w:proofErr w:type="spellStart"/>
      <w:r w:rsidRPr="00FB10B4">
        <w:rPr>
          <w:sz w:val="20"/>
          <w:szCs w:val="20"/>
        </w:rPr>
        <w:t>Hosta</w:t>
      </w:r>
      <w:proofErr w:type="spellEnd"/>
      <w:r w:rsidRPr="00FB10B4">
        <w:rPr>
          <w:sz w:val="20"/>
          <w:szCs w:val="20"/>
        </w:rPr>
        <w:t xml:space="preserve"> 1ancifolia), tűzliliom (</w:t>
      </w:r>
      <w:proofErr w:type="spellStart"/>
      <w:r w:rsidRPr="00FB10B4">
        <w:rPr>
          <w:sz w:val="20"/>
          <w:szCs w:val="20"/>
        </w:rPr>
        <w:t>Liliumbulbiferum</w:t>
      </w:r>
      <w:proofErr w:type="spellEnd"/>
      <w:r w:rsidRPr="00FB10B4">
        <w:rPr>
          <w:sz w:val="20"/>
          <w:szCs w:val="20"/>
        </w:rPr>
        <w:t>), pálma liliom (</w:t>
      </w:r>
      <w:proofErr w:type="spellStart"/>
      <w:r w:rsidRPr="00FB10B4">
        <w:rPr>
          <w:sz w:val="20"/>
          <w:szCs w:val="20"/>
        </w:rPr>
        <w:t>Yuccafilamentosa</w:t>
      </w:r>
      <w:proofErr w:type="spellEnd"/>
      <w:r w:rsidRPr="00FB10B4">
        <w:rPr>
          <w:sz w:val="20"/>
          <w:szCs w:val="20"/>
        </w:rPr>
        <w:t>), tulipánfélék (</w:t>
      </w:r>
      <w:proofErr w:type="spellStart"/>
      <w:r w:rsidRPr="00FB10B4">
        <w:rPr>
          <w:sz w:val="20"/>
          <w:szCs w:val="20"/>
        </w:rPr>
        <w:t>Tulipasp</w:t>
      </w:r>
      <w:proofErr w:type="spellEnd"/>
      <w:r w:rsidRPr="00FB10B4">
        <w:rPr>
          <w:sz w:val="20"/>
          <w:szCs w:val="20"/>
        </w:rPr>
        <w:t>.), bugás lángvirág (</w:t>
      </w:r>
      <w:proofErr w:type="spellStart"/>
      <w:r w:rsidRPr="00FB10B4">
        <w:rPr>
          <w:sz w:val="20"/>
          <w:szCs w:val="20"/>
        </w:rPr>
        <w:t>Phloxpaniculata</w:t>
      </w:r>
      <w:proofErr w:type="spellEnd"/>
      <w:r w:rsidRPr="00FB10B4">
        <w:rPr>
          <w:sz w:val="20"/>
          <w:szCs w:val="20"/>
        </w:rPr>
        <w:t>), oroszlánszáj (</w:t>
      </w:r>
      <w:proofErr w:type="spellStart"/>
      <w:r w:rsidRPr="00FB10B4">
        <w:rPr>
          <w:sz w:val="20"/>
          <w:szCs w:val="20"/>
        </w:rPr>
        <w:t>Antirrhinummajus</w:t>
      </w:r>
      <w:proofErr w:type="spellEnd"/>
      <w:r w:rsidRPr="00FB10B4">
        <w:rPr>
          <w:sz w:val="20"/>
          <w:szCs w:val="20"/>
        </w:rPr>
        <w:t>), kerti fátyolvirág (</w:t>
      </w:r>
      <w:proofErr w:type="spellStart"/>
      <w:r w:rsidRPr="00FB10B4">
        <w:rPr>
          <w:sz w:val="20"/>
          <w:szCs w:val="20"/>
        </w:rPr>
        <w:t>Gypsophilaelegans</w:t>
      </w:r>
      <w:proofErr w:type="spellEnd"/>
      <w:r w:rsidRPr="00FB10B4">
        <w:rPr>
          <w:sz w:val="20"/>
          <w:szCs w:val="20"/>
        </w:rPr>
        <w:t>), bárányfarok</w:t>
      </w:r>
      <w:proofErr w:type="gram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Amaranthushypochondriacus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 xml:space="preserve">Kerti díszként is használható fűszer- és gyógynövények: </w:t>
      </w:r>
    </w:p>
    <w:p w:rsidR="001F2B1E" w:rsidRPr="00FB10B4" w:rsidRDefault="001F2B1E" w:rsidP="001F2B1E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rStyle w:val="CharacterStyle2"/>
          <w:bCs/>
          <w:spacing w:val="6"/>
          <w:lang w:eastAsia="en-US"/>
        </w:rPr>
        <w:t>üröm</w:t>
      </w:r>
      <w:proofErr w:type="gramEnd"/>
      <w:r w:rsidRPr="00FB10B4">
        <w:rPr>
          <w:rStyle w:val="CharacterStyle2"/>
          <w:bCs/>
          <w:spacing w:val="6"/>
          <w:lang w:eastAsia="en-US"/>
        </w:rPr>
        <w:t xml:space="preserve"> fajok </w:t>
      </w:r>
      <w:r w:rsidRPr="00FB10B4">
        <w:rPr>
          <w:sz w:val="20"/>
          <w:szCs w:val="20"/>
        </w:rPr>
        <w:t>(</w:t>
      </w:r>
      <w:proofErr w:type="spellStart"/>
      <w:r w:rsidRPr="00FB10B4">
        <w:rPr>
          <w:sz w:val="20"/>
          <w:szCs w:val="20"/>
        </w:rPr>
        <w:t>Artemisiasp</w:t>
      </w:r>
      <w:proofErr w:type="spellEnd"/>
      <w:r w:rsidRPr="00FB10B4">
        <w:rPr>
          <w:sz w:val="20"/>
          <w:szCs w:val="20"/>
        </w:rPr>
        <w:t>.), izsóp (</w:t>
      </w:r>
      <w:proofErr w:type="spellStart"/>
      <w:r w:rsidRPr="00FB10B4">
        <w:rPr>
          <w:sz w:val="20"/>
          <w:szCs w:val="20"/>
        </w:rPr>
        <w:t>Hypossusofficinalis</w:t>
      </w:r>
      <w:proofErr w:type="spellEnd"/>
      <w:r w:rsidRPr="00FB10B4">
        <w:rPr>
          <w:sz w:val="20"/>
          <w:szCs w:val="20"/>
        </w:rPr>
        <w:t>), levendula (</w:t>
      </w:r>
      <w:proofErr w:type="spellStart"/>
      <w:r w:rsidRPr="00FB10B4">
        <w:rPr>
          <w:sz w:val="20"/>
          <w:szCs w:val="20"/>
        </w:rPr>
        <w:t>Lavandulaangustifolia</w:t>
      </w:r>
      <w:proofErr w:type="spellEnd"/>
      <w:r w:rsidRPr="00FB10B4">
        <w:rPr>
          <w:sz w:val="20"/>
          <w:szCs w:val="20"/>
        </w:rPr>
        <w:t>), rozmaring (</w:t>
      </w:r>
      <w:proofErr w:type="spellStart"/>
      <w:r w:rsidRPr="00FB10B4">
        <w:rPr>
          <w:sz w:val="20"/>
          <w:szCs w:val="20"/>
        </w:rPr>
        <w:t>Rosmarinusofficinalis</w:t>
      </w:r>
      <w:proofErr w:type="spellEnd"/>
      <w:r w:rsidRPr="00FB10B4">
        <w:rPr>
          <w:sz w:val="20"/>
          <w:szCs w:val="20"/>
        </w:rPr>
        <w:t>), kerti ruta (</w:t>
      </w:r>
      <w:proofErr w:type="spellStart"/>
      <w:r w:rsidRPr="00FB10B4">
        <w:rPr>
          <w:sz w:val="20"/>
          <w:szCs w:val="20"/>
        </w:rPr>
        <w:t>Rutagraveolens</w:t>
      </w:r>
      <w:proofErr w:type="spellEnd"/>
      <w:r w:rsidRPr="00FB10B4">
        <w:rPr>
          <w:sz w:val="20"/>
          <w:szCs w:val="20"/>
        </w:rPr>
        <w:t>), orvosi zsálya (</w:t>
      </w:r>
      <w:proofErr w:type="spellStart"/>
      <w:r w:rsidRPr="00FB10B4">
        <w:rPr>
          <w:sz w:val="20"/>
          <w:szCs w:val="20"/>
        </w:rPr>
        <w:t>Salviaofficinalis</w:t>
      </w:r>
      <w:proofErr w:type="spellEnd"/>
      <w:r w:rsidRPr="00FB10B4">
        <w:rPr>
          <w:sz w:val="20"/>
          <w:szCs w:val="20"/>
        </w:rPr>
        <w:t>), kakukkfű fajok (</w:t>
      </w:r>
      <w:proofErr w:type="spellStart"/>
      <w:r w:rsidRPr="00FB10B4">
        <w:rPr>
          <w:sz w:val="20"/>
          <w:szCs w:val="20"/>
        </w:rPr>
        <w:t>Thymusserpyllum</w:t>
      </w:r>
      <w:proofErr w:type="spellEnd"/>
      <w:r w:rsidRPr="00FB10B4">
        <w:rPr>
          <w:sz w:val="20"/>
          <w:szCs w:val="20"/>
        </w:rPr>
        <w:t xml:space="preserve">, T. </w:t>
      </w:r>
      <w:proofErr w:type="spellStart"/>
      <w:r w:rsidRPr="00FB10B4">
        <w:rPr>
          <w:sz w:val="20"/>
          <w:szCs w:val="20"/>
        </w:rPr>
        <w:t>sp</w:t>
      </w:r>
      <w:proofErr w:type="spellEnd"/>
      <w:r w:rsidRPr="00FB10B4">
        <w:rPr>
          <w:sz w:val="20"/>
          <w:szCs w:val="20"/>
        </w:rPr>
        <w:t>.), bazsalikom (</w:t>
      </w:r>
      <w:proofErr w:type="spellStart"/>
      <w:r w:rsidRPr="00FB10B4">
        <w:rPr>
          <w:sz w:val="20"/>
          <w:szCs w:val="20"/>
        </w:rPr>
        <w:t>Ocymumbasalicum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>Kerítést kísérő díszcserjék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kerti</w:t>
      </w:r>
      <w:proofErr w:type="gramEnd"/>
      <w:r w:rsidRPr="00FB10B4">
        <w:rPr>
          <w:sz w:val="20"/>
          <w:szCs w:val="20"/>
        </w:rPr>
        <w:t xml:space="preserve"> madárbirs (</w:t>
      </w:r>
      <w:proofErr w:type="spellStart"/>
      <w:r w:rsidRPr="00FB10B4">
        <w:rPr>
          <w:sz w:val="20"/>
          <w:szCs w:val="20"/>
        </w:rPr>
        <w:t>Cotoneasterhorizontalis</w:t>
      </w:r>
      <w:proofErr w:type="spellEnd"/>
      <w:r w:rsidRPr="00FB10B4">
        <w:rPr>
          <w:sz w:val="20"/>
          <w:szCs w:val="20"/>
        </w:rPr>
        <w:t>), tűztövis (</w:t>
      </w:r>
      <w:proofErr w:type="spellStart"/>
      <w:r w:rsidRPr="00FB10B4">
        <w:rPr>
          <w:sz w:val="20"/>
          <w:szCs w:val="20"/>
        </w:rPr>
        <w:t>Pyracanthacoccinea</w:t>
      </w:r>
      <w:proofErr w:type="spellEnd"/>
      <w:r w:rsidRPr="00FB10B4">
        <w:rPr>
          <w:sz w:val="20"/>
          <w:szCs w:val="20"/>
        </w:rPr>
        <w:t>), egybibés galagonya (</w:t>
      </w:r>
      <w:proofErr w:type="spellStart"/>
      <w:r w:rsidRPr="00FB10B4">
        <w:rPr>
          <w:sz w:val="20"/>
          <w:szCs w:val="20"/>
        </w:rPr>
        <w:t>Craetegusmonogyna</w:t>
      </w:r>
      <w:proofErr w:type="spellEnd"/>
      <w:r w:rsidRPr="00FB10B4">
        <w:rPr>
          <w:sz w:val="20"/>
          <w:szCs w:val="20"/>
        </w:rPr>
        <w:t>), szederfajták (</w:t>
      </w:r>
      <w:proofErr w:type="spellStart"/>
      <w:r w:rsidRPr="00FB10B4">
        <w:rPr>
          <w:sz w:val="20"/>
          <w:szCs w:val="20"/>
        </w:rPr>
        <w:t>Rubussp</w:t>
      </w:r>
      <w:proofErr w:type="spellEnd"/>
      <w:r w:rsidRPr="00FB10B4">
        <w:rPr>
          <w:sz w:val="20"/>
          <w:szCs w:val="20"/>
        </w:rPr>
        <w:t>.), nyári orgona (</w:t>
      </w:r>
      <w:proofErr w:type="spellStart"/>
      <w:r w:rsidRPr="00FB10B4">
        <w:rPr>
          <w:sz w:val="20"/>
          <w:szCs w:val="20"/>
        </w:rPr>
        <w:t>Buddleiadavidii</w:t>
      </w:r>
      <w:proofErr w:type="spellEnd"/>
      <w:r w:rsidRPr="00FB10B4">
        <w:rPr>
          <w:sz w:val="20"/>
          <w:szCs w:val="20"/>
        </w:rPr>
        <w:t>), közönséges orgona (</w:t>
      </w:r>
      <w:proofErr w:type="spellStart"/>
      <w:r w:rsidRPr="00FB10B4">
        <w:rPr>
          <w:sz w:val="20"/>
          <w:szCs w:val="20"/>
        </w:rPr>
        <w:t>Syringavulgaris</w:t>
      </w:r>
      <w:proofErr w:type="spellEnd"/>
      <w:r w:rsidRPr="00FB10B4">
        <w:rPr>
          <w:sz w:val="20"/>
          <w:szCs w:val="20"/>
        </w:rPr>
        <w:t>), mályva (</w:t>
      </w:r>
      <w:proofErr w:type="spellStart"/>
      <w:r w:rsidRPr="00FB10B4">
        <w:rPr>
          <w:sz w:val="20"/>
          <w:szCs w:val="20"/>
        </w:rPr>
        <w:t>Hibiscussiriacus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  <w:bCs/>
          <w:spacing w:val="6"/>
          <w:lang w:eastAsia="en-US"/>
        </w:rPr>
        <w:t xml:space="preserve">Felkúszó és lecsüngő növényzet (támfalra, kerítéshez, kőfal elé) 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trombita</w:t>
      </w:r>
      <w:proofErr w:type="gramEnd"/>
      <w:r w:rsidRPr="00FB10B4">
        <w:rPr>
          <w:sz w:val="20"/>
          <w:szCs w:val="20"/>
        </w:rPr>
        <w:t xml:space="preserve"> folyondár (</w:t>
      </w:r>
      <w:proofErr w:type="spellStart"/>
      <w:r w:rsidRPr="00FB10B4">
        <w:rPr>
          <w:sz w:val="20"/>
          <w:szCs w:val="20"/>
        </w:rPr>
        <w:t>Campsisradicans</w:t>
      </w:r>
      <w:proofErr w:type="spellEnd"/>
      <w:r w:rsidRPr="00FB10B4">
        <w:rPr>
          <w:sz w:val="20"/>
          <w:szCs w:val="20"/>
        </w:rPr>
        <w:t>), sarkantyúka (</w:t>
      </w:r>
      <w:proofErr w:type="spellStart"/>
      <w:r w:rsidRPr="00FB10B4">
        <w:rPr>
          <w:sz w:val="20"/>
          <w:szCs w:val="20"/>
        </w:rPr>
        <w:t>Tropaeolummajus</w:t>
      </w:r>
      <w:proofErr w:type="spellEnd"/>
      <w:r w:rsidRPr="00FB10B4">
        <w:rPr>
          <w:sz w:val="20"/>
          <w:szCs w:val="20"/>
        </w:rPr>
        <w:t>), tatár lonc (</w:t>
      </w:r>
      <w:proofErr w:type="spellStart"/>
      <w:r w:rsidRPr="00FB10B4">
        <w:rPr>
          <w:sz w:val="20"/>
          <w:szCs w:val="20"/>
        </w:rPr>
        <w:t>Loniceratatarica</w:t>
      </w:r>
      <w:proofErr w:type="spellEnd"/>
      <w:r w:rsidRPr="00FB10B4">
        <w:rPr>
          <w:sz w:val="20"/>
          <w:szCs w:val="20"/>
        </w:rPr>
        <w:t>), magyar lonc (</w:t>
      </w:r>
      <w:proofErr w:type="spellStart"/>
      <w:r w:rsidRPr="00FB10B4">
        <w:rPr>
          <w:sz w:val="20"/>
          <w:szCs w:val="20"/>
        </w:rPr>
        <w:t>Loniceratellmaniana</w:t>
      </w:r>
      <w:proofErr w:type="spellEnd"/>
      <w:r w:rsidRPr="00FB10B4">
        <w:rPr>
          <w:sz w:val="20"/>
          <w:szCs w:val="20"/>
        </w:rPr>
        <w:t>), borostyán (</w:t>
      </w:r>
      <w:proofErr w:type="spellStart"/>
      <w:r w:rsidRPr="00FB10B4">
        <w:rPr>
          <w:sz w:val="20"/>
          <w:szCs w:val="20"/>
        </w:rPr>
        <w:t>Hederahelix</w:t>
      </w:r>
      <w:proofErr w:type="spellEnd"/>
      <w:r w:rsidRPr="00FB10B4">
        <w:rPr>
          <w:sz w:val="20"/>
          <w:szCs w:val="20"/>
        </w:rPr>
        <w:t>), kék hajnalka (</w:t>
      </w:r>
      <w:proofErr w:type="spellStart"/>
      <w:r w:rsidRPr="00FB10B4">
        <w:rPr>
          <w:sz w:val="20"/>
          <w:szCs w:val="20"/>
        </w:rPr>
        <w:t>lpomoeatricolor</w:t>
      </w:r>
      <w:proofErr w:type="spellEnd"/>
      <w:r w:rsidRPr="00FB10B4">
        <w:rPr>
          <w:sz w:val="20"/>
          <w:szCs w:val="20"/>
        </w:rPr>
        <w:t>), ligeti szőlő (</w:t>
      </w:r>
      <w:proofErr w:type="spellStart"/>
      <w:r w:rsidRPr="00FB10B4">
        <w:rPr>
          <w:sz w:val="20"/>
          <w:szCs w:val="20"/>
        </w:rPr>
        <w:t>Vitissilvestris</w:t>
      </w:r>
      <w:proofErr w:type="spellEnd"/>
      <w:r w:rsidRPr="00FB10B4">
        <w:rPr>
          <w:sz w:val="20"/>
          <w:szCs w:val="20"/>
        </w:rPr>
        <w:t xml:space="preserve">), bíboros hajnalka (I. </w:t>
      </w:r>
      <w:proofErr w:type="spellStart"/>
      <w:r w:rsidRPr="00FB10B4">
        <w:rPr>
          <w:sz w:val="20"/>
          <w:szCs w:val="20"/>
        </w:rPr>
        <w:t>purpurea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bCs/>
          <w:spacing w:val="6"/>
          <w:lang w:eastAsia="en-US"/>
        </w:rPr>
      </w:pPr>
      <w:r w:rsidRPr="00FB10B4">
        <w:rPr>
          <w:rStyle w:val="CharacterStyle2"/>
        </w:rPr>
        <w:t>Kőfalakat,</w:t>
      </w:r>
      <w:r w:rsidRPr="00FB10B4">
        <w:rPr>
          <w:rStyle w:val="CharacterStyle2"/>
          <w:lang w:eastAsia="en-US"/>
        </w:rPr>
        <w:t xml:space="preserve"> támfalakat</w:t>
      </w:r>
      <w:r w:rsidRPr="00FB10B4">
        <w:rPr>
          <w:rStyle w:val="CharacterStyle2"/>
        </w:rPr>
        <w:t xml:space="preserve"> élénkítő növényzet (a</w:t>
      </w:r>
      <w:r w:rsidRPr="00FB10B4">
        <w:rPr>
          <w:rStyle w:val="CharacterStyle2"/>
          <w:lang w:eastAsia="en-US"/>
        </w:rPr>
        <w:t xml:space="preserve"> kúszónövényekkel</w:t>
      </w:r>
      <w:r w:rsidRPr="00FB10B4">
        <w:rPr>
          <w:rStyle w:val="CharacterStyle2"/>
        </w:rPr>
        <w:t xml:space="preserve"> együtt alkalmazva) 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sziklai</w:t>
      </w:r>
      <w:proofErr w:type="gramEnd"/>
      <w:r w:rsidRPr="00FB10B4">
        <w:rPr>
          <w:sz w:val="20"/>
          <w:szCs w:val="20"/>
        </w:rPr>
        <w:t xml:space="preserve"> </w:t>
      </w:r>
      <w:proofErr w:type="spellStart"/>
      <w:r w:rsidRPr="00FB10B4">
        <w:rPr>
          <w:sz w:val="20"/>
          <w:szCs w:val="20"/>
        </w:rPr>
        <w:t>ternye</w:t>
      </w:r>
      <w:proofErr w:type="spell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Alyssumsaxatile</w:t>
      </w:r>
      <w:proofErr w:type="spellEnd"/>
      <w:r w:rsidRPr="00FB10B4">
        <w:rPr>
          <w:sz w:val="20"/>
          <w:szCs w:val="20"/>
        </w:rPr>
        <w:t>), fehér varjúháj (</w:t>
      </w:r>
      <w:proofErr w:type="spellStart"/>
      <w:r w:rsidRPr="00FB10B4">
        <w:rPr>
          <w:sz w:val="20"/>
          <w:szCs w:val="20"/>
        </w:rPr>
        <w:t>Sedum</w:t>
      </w:r>
      <w:proofErr w:type="spellEnd"/>
      <w:r w:rsidRPr="00FB10B4">
        <w:rPr>
          <w:sz w:val="20"/>
          <w:szCs w:val="20"/>
        </w:rPr>
        <w:t xml:space="preserve"> album), rózsás kövirózsa (</w:t>
      </w:r>
      <w:proofErr w:type="spellStart"/>
      <w:r w:rsidRPr="00FB10B4">
        <w:rPr>
          <w:sz w:val="20"/>
          <w:szCs w:val="20"/>
        </w:rPr>
        <w:t>Sempervivummarmoreum</w:t>
      </w:r>
      <w:proofErr w:type="spellEnd"/>
      <w:r w:rsidRPr="00FB10B4">
        <w:rPr>
          <w:sz w:val="20"/>
          <w:szCs w:val="20"/>
        </w:rPr>
        <w:t>),borsos varjúháj (</w:t>
      </w:r>
      <w:proofErr w:type="spellStart"/>
      <w:r w:rsidRPr="00FB10B4">
        <w:rPr>
          <w:sz w:val="20"/>
          <w:szCs w:val="20"/>
        </w:rPr>
        <w:t>Sedumacre</w:t>
      </w:r>
      <w:proofErr w:type="spellEnd"/>
      <w:r w:rsidRPr="00FB10B4">
        <w:rPr>
          <w:sz w:val="20"/>
          <w:szCs w:val="20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t>A lakótelkek fái: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r w:rsidRPr="00FB10B4">
        <w:rPr>
          <w:sz w:val="20"/>
          <w:szCs w:val="20"/>
        </w:rPr>
        <w:t xml:space="preserve">A régi falusi kertekben jellemzőek a haszonfák voltak, főleg a kevés permetezést igénylő gyümölcsfák. Más fákat csak megtűrtek nem vágtak ki -, ha kivételesen szép </w:t>
      </w:r>
      <w:hyperlink r:id="rId5" w:history="1">
        <w:r w:rsidRPr="00FB10B4">
          <w:rPr>
            <w:sz w:val="20"/>
            <w:szCs w:val="20"/>
          </w:rPr>
          <w:t>volt. pl</w:t>
        </w:r>
      </w:hyperlink>
      <w:r w:rsidRPr="00FB10B4">
        <w:rPr>
          <w:sz w:val="20"/>
          <w:szCs w:val="20"/>
        </w:rPr>
        <w:t>. kislevelű hárs (</w:t>
      </w:r>
      <w:proofErr w:type="spellStart"/>
      <w:r w:rsidRPr="00FB10B4">
        <w:rPr>
          <w:sz w:val="20"/>
          <w:szCs w:val="20"/>
        </w:rPr>
        <w:t>Tiliacordata</w:t>
      </w:r>
      <w:proofErr w:type="spellEnd"/>
      <w:r w:rsidRPr="00FB10B4">
        <w:rPr>
          <w:sz w:val="20"/>
          <w:szCs w:val="20"/>
        </w:rPr>
        <w:t>), berkenye (</w:t>
      </w:r>
      <w:proofErr w:type="spellStart"/>
      <w:r w:rsidRPr="00FB10B4">
        <w:rPr>
          <w:sz w:val="20"/>
          <w:szCs w:val="20"/>
        </w:rPr>
        <w:t>Sorbussp</w:t>
      </w:r>
      <w:proofErr w:type="spellEnd"/>
      <w:r w:rsidRPr="00FB10B4">
        <w:rPr>
          <w:sz w:val="20"/>
          <w:szCs w:val="20"/>
        </w:rPr>
        <w:t>.), vadkörte (</w:t>
      </w:r>
      <w:proofErr w:type="spellStart"/>
      <w:r w:rsidRPr="00FB10B4">
        <w:rPr>
          <w:sz w:val="20"/>
          <w:szCs w:val="20"/>
        </w:rPr>
        <w:t>Pyruspyraster</w:t>
      </w:r>
      <w:proofErr w:type="spellEnd"/>
      <w:r w:rsidRPr="00FB10B4">
        <w:rPr>
          <w:sz w:val="20"/>
          <w:szCs w:val="20"/>
        </w:rPr>
        <w:t>), tölgy (</w:t>
      </w:r>
      <w:proofErr w:type="spellStart"/>
      <w:r w:rsidRPr="00FB10B4">
        <w:rPr>
          <w:sz w:val="20"/>
          <w:szCs w:val="20"/>
        </w:rPr>
        <w:t>Quercussp</w:t>
      </w:r>
      <w:proofErr w:type="spellEnd"/>
      <w:r w:rsidRPr="00FB10B4">
        <w:rPr>
          <w:sz w:val="20"/>
          <w:szCs w:val="20"/>
        </w:rPr>
        <w:t>.)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lastRenderedPageBreak/>
        <w:t>Javasolt gyümölcsfák és cserjék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dió (</w:t>
      </w:r>
      <w:proofErr w:type="spellStart"/>
      <w:r w:rsidRPr="00FB10B4">
        <w:rPr>
          <w:sz w:val="20"/>
          <w:szCs w:val="20"/>
        </w:rPr>
        <w:t>Juglansregia</w:t>
      </w:r>
      <w:proofErr w:type="spellEnd"/>
      <w:r w:rsidRPr="00FB10B4">
        <w:rPr>
          <w:sz w:val="20"/>
          <w:szCs w:val="20"/>
        </w:rPr>
        <w:t>), kajszibarack (</w:t>
      </w:r>
      <w:proofErr w:type="spellStart"/>
      <w:r w:rsidRPr="00FB10B4">
        <w:rPr>
          <w:sz w:val="20"/>
          <w:szCs w:val="20"/>
        </w:rPr>
        <w:t>Prunusarmeniaca</w:t>
      </w:r>
      <w:proofErr w:type="spellEnd"/>
      <w:r w:rsidRPr="00FB10B4">
        <w:rPr>
          <w:sz w:val="20"/>
          <w:szCs w:val="20"/>
        </w:rPr>
        <w:t>), őszibarack (</w:t>
      </w:r>
      <w:proofErr w:type="spellStart"/>
      <w:r w:rsidRPr="00FB10B4">
        <w:rPr>
          <w:sz w:val="20"/>
          <w:szCs w:val="20"/>
        </w:rPr>
        <w:t>Prunuspersica</w:t>
      </w:r>
      <w:proofErr w:type="spellEnd"/>
      <w:r w:rsidRPr="00FB10B4">
        <w:rPr>
          <w:sz w:val="20"/>
          <w:szCs w:val="20"/>
        </w:rPr>
        <w:t>), mandula (</w:t>
      </w:r>
      <w:proofErr w:type="spellStart"/>
      <w:r w:rsidRPr="00FB10B4">
        <w:rPr>
          <w:sz w:val="20"/>
          <w:szCs w:val="20"/>
        </w:rPr>
        <w:t>Prunusdulcis</w:t>
      </w:r>
      <w:proofErr w:type="spellEnd"/>
      <w:r w:rsidRPr="00FB10B4">
        <w:rPr>
          <w:sz w:val="20"/>
          <w:szCs w:val="20"/>
        </w:rPr>
        <w:t>), szilva (</w:t>
      </w:r>
      <w:proofErr w:type="spellStart"/>
      <w:r w:rsidRPr="00FB10B4">
        <w:rPr>
          <w:sz w:val="20"/>
          <w:szCs w:val="20"/>
        </w:rPr>
        <w:t>Prunusdomestica</w:t>
      </w:r>
      <w:proofErr w:type="spellEnd"/>
      <w:r w:rsidRPr="00FB10B4">
        <w:rPr>
          <w:sz w:val="20"/>
          <w:szCs w:val="20"/>
        </w:rPr>
        <w:t>), meggy (</w:t>
      </w:r>
      <w:proofErr w:type="spellStart"/>
      <w:r w:rsidRPr="00FB10B4">
        <w:rPr>
          <w:sz w:val="20"/>
          <w:szCs w:val="20"/>
        </w:rPr>
        <w:t>Prunuscerasus</w:t>
      </w:r>
      <w:proofErr w:type="spellEnd"/>
      <w:r w:rsidRPr="00FB10B4">
        <w:rPr>
          <w:sz w:val="20"/>
          <w:szCs w:val="20"/>
        </w:rPr>
        <w:t>), cseresznye (</w:t>
      </w:r>
      <w:proofErr w:type="spellStart"/>
      <w:r w:rsidRPr="00FB10B4">
        <w:rPr>
          <w:sz w:val="20"/>
          <w:szCs w:val="20"/>
        </w:rPr>
        <w:t>Cerasussp</w:t>
      </w:r>
      <w:proofErr w:type="spellEnd"/>
      <w:r w:rsidRPr="00FB10B4">
        <w:rPr>
          <w:sz w:val="20"/>
          <w:szCs w:val="20"/>
        </w:rPr>
        <w:t>.), alma (</w:t>
      </w:r>
      <w:proofErr w:type="spellStart"/>
      <w:r w:rsidRPr="00FB10B4">
        <w:rPr>
          <w:sz w:val="20"/>
          <w:szCs w:val="20"/>
        </w:rPr>
        <w:t>Malusdomestica</w:t>
      </w:r>
      <w:proofErr w:type="spellEnd"/>
      <w:r w:rsidRPr="00FB10B4">
        <w:rPr>
          <w:sz w:val="20"/>
          <w:szCs w:val="20"/>
        </w:rPr>
        <w:t>), körte (</w:t>
      </w:r>
      <w:proofErr w:type="spellStart"/>
      <w:r w:rsidRPr="00FB10B4">
        <w:rPr>
          <w:sz w:val="20"/>
          <w:szCs w:val="20"/>
        </w:rPr>
        <w:t>Pyruscommunis</w:t>
      </w:r>
      <w:proofErr w:type="spellEnd"/>
      <w:r w:rsidRPr="00FB10B4">
        <w:rPr>
          <w:sz w:val="20"/>
          <w:szCs w:val="20"/>
        </w:rPr>
        <w:t>), eperfa (Morus alba), szőlő (</w:t>
      </w:r>
      <w:proofErr w:type="spellStart"/>
      <w:r w:rsidRPr="00FB10B4">
        <w:rPr>
          <w:sz w:val="20"/>
          <w:szCs w:val="20"/>
        </w:rPr>
        <w:t>Vitisvinifera</w:t>
      </w:r>
      <w:proofErr w:type="spellEnd"/>
      <w:r w:rsidRPr="00FB10B4">
        <w:rPr>
          <w:sz w:val="20"/>
          <w:szCs w:val="20"/>
        </w:rPr>
        <w:t>), füge (</w:t>
      </w:r>
      <w:proofErr w:type="spellStart"/>
      <w:r w:rsidRPr="00FB10B4">
        <w:rPr>
          <w:sz w:val="20"/>
          <w:szCs w:val="20"/>
        </w:rPr>
        <w:t>Ficuscarica</w:t>
      </w:r>
      <w:proofErr w:type="spellEnd"/>
      <w:r w:rsidRPr="00FB10B4">
        <w:rPr>
          <w:sz w:val="20"/>
          <w:szCs w:val="20"/>
        </w:rPr>
        <w:t>) málna (</w:t>
      </w:r>
      <w:proofErr w:type="spellStart"/>
      <w:r w:rsidRPr="00FB10B4">
        <w:rPr>
          <w:sz w:val="20"/>
          <w:szCs w:val="20"/>
        </w:rPr>
        <w:t>Rubusideaus</w:t>
      </w:r>
      <w:proofErr w:type="spellEnd"/>
      <w:r w:rsidRPr="00FB10B4">
        <w:rPr>
          <w:sz w:val="20"/>
          <w:szCs w:val="20"/>
        </w:rPr>
        <w:t>), piros ribizli (</w:t>
      </w:r>
      <w:proofErr w:type="spellStart"/>
      <w:r w:rsidRPr="00FB10B4">
        <w:rPr>
          <w:sz w:val="20"/>
          <w:szCs w:val="20"/>
        </w:rPr>
        <w:t>Ribesspicatum</w:t>
      </w:r>
      <w:proofErr w:type="spellEnd"/>
      <w:r w:rsidRPr="00FB10B4">
        <w:rPr>
          <w:sz w:val="20"/>
          <w:szCs w:val="20"/>
        </w:rPr>
        <w:t>), egres (</w:t>
      </w:r>
      <w:proofErr w:type="spellStart"/>
      <w:r w:rsidRPr="00FB10B4">
        <w:rPr>
          <w:sz w:val="20"/>
          <w:szCs w:val="20"/>
        </w:rPr>
        <w:t>Ribesuva-crispa</w:t>
      </w:r>
      <w:proofErr w:type="spellEnd"/>
      <w:r w:rsidRPr="00FB10B4">
        <w:rPr>
          <w:sz w:val="20"/>
          <w:szCs w:val="20"/>
        </w:rPr>
        <w:t>), mogyoró (</w:t>
      </w:r>
      <w:proofErr w:type="spellStart"/>
      <w:r w:rsidRPr="00FB10B4">
        <w:rPr>
          <w:sz w:val="20"/>
          <w:szCs w:val="20"/>
        </w:rPr>
        <w:t>Corylusavellana</w:t>
      </w:r>
      <w:proofErr w:type="spellEnd"/>
      <w:r w:rsidRPr="00FB10B4">
        <w:rPr>
          <w:sz w:val="20"/>
          <w:szCs w:val="20"/>
        </w:rPr>
        <w:t>)</w:t>
      </w:r>
      <w:proofErr w:type="gramEnd"/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sz w:val="20"/>
          <w:szCs w:val="20"/>
        </w:rPr>
      </w:pPr>
      <w:proofErr w:type="gramStart"/>
      <w:r w:rsidRPr="00FB10B4">
        <w:rPr>
          <w:sz w:val="20"/>
          <w:szCs w:val="20"/>
        </w:rPr>
        <w:t>dísztökök</w:t>
      </w:r>
      <w:proofErr w:type="gramEnd"/>
      <w:r w:rsidRPr="00FB10B4">
        <w:rPr>
          <w:sz w:val="20"/>
          <w:szCs w:val="20"/>
        </w:rPr>
        <w:t xml:space="preserve"> (</w:t>
      </w:r>
      <w:proofErr w:type="spellStart"/>
      <w:r w:rsidRPr="00FB10B4">
        <w:rPr>
          <w:sz w:val="20"/>
          <w:szCs w:val="20"/>
        </w:rPr>
        <w:t>Cucurbitapepo</w:t>
      </w:r>
      <w:proofErr w:type="spellEnd"/>
      <w:r w:rsidRPr="00FB10B4">
        <w:rPr>
          <w:sz w:val="20"/>
          <w:szCs w:val="20"/>
        </w:rPr>
        <w:t>), a kúszó bab (</w:t>
      </w:r>
      <w:proofErr w:type="spellStart"/>
      <w:r w:rsidRPr="00FB10B4">
        <w:rPr>
          <w:sz w:val="20"/>
          <w:szCs w:val="20"/>
        </w:rPr>
        <w:t>Phaseolussp</w:t>
      </w:r>
      <w:proofErr w:type="spellEnd"/>
      <w:r w:rsidRPr="00FB10B4">
        <w:rPr>
          <w:sz w:val="20"/>
          <w:szCs w:val="20"/>
        </w:rPr>
        <w:t>.), napraforgó (</w:t>
      </w:r>
      <w:proofErr w:type="spellStart"/>
      <w:r w:rsidRPr="00FB10B4">
        <w:rPr>
          <w:sz w:val="20"/>
          <w:szCs w:val="20"/>
        </w:rPr>
        <w:t>Helianthusannuus</w:t>
      </w:r>
      <w:proofErr w:type="spellEnd"/>
      <w:r w:rsidRPr="00FB10B4">
        <w:rPr>
          <w:sz w:val="20"/>
          <w:szCs w:val="20"/>
        </w:rPr>
        <w:t>) mértéktartó alkalmazása.</w:t>
      </w:r>
    </w:p>
    <w:p w:rsidR="001F2B1E" w:rsidRPr="00FB10B4" w:rsidRDefault="001F2B1E" w:rsidP="001F2B1E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jc w:val="both"/>
        <w:rPr>
          <w:rStyle w:val="CharacterStyle2"/>
          <w:b/>
          <w:bCs/>
          <w:spacing w:val="2"/>
        </w:rPr>
      </w:pPr>
      <w:r w:rsidRPr="00FB10B4">
        <w:rPr>
          <w:rStyle w:val="CharacterStyle2"/>
          <w:b/>
          <w:bCs/>
          <w:spacing w:val="2"/>
        </w:rPr>
        <w:t>Közterületek, parkok növényzete: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t>Fák a településközpontban, a templom körül es a jelentősebb középületeknél</w:t>
      </w:r>
    </w:p>
    <w:p w:rsidR="001F2B1E" w:rsidRPr="00FB10B4" w:rsidRDefault="001F2B1E" w:rsidP="001F2B1E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</w:rPr>
      </w:pPr>
      <w:proofErr w:type="gramStart"/>
      <w:r w:rsidRPr="00FB10B4">
        <w:rPr>
          <w:rStyle w:val="CharacterStyle2"/>
        </w:rPr>
        <w:t>kislevelű</w:t>
      </w:r>
      <w:proofErr w:type="gramEnd"/>
      <w:r w:rsidRPr="00FB10B4">
        <w:rPr>
          <w:rStyle w:val="CharacterStyle2"/>
        </w:rPr>
        <w:t xml:space="preserve"> hárs (</w:t>
      </w:r>
      <w:proofErr w:type="spellStart"/>
      <w:r w:rsidRPr="00FB10B4">
        <w:rPr>
          <w:rStyle w:val="CharacterStyle2"/>
        </w:rPr>
        <w:t>Tiliacordata</w:t>
      </w:r>
      <w:proofErr w:type="spellEnd"/>
      <w:r w:rsidRPr="00FB10B4">
        <w:rPr>
          <w:rStyle w:val="CharacterStyle2"/>
        </w:rPr>
        <w:t>), vadgesztenye vagy bokrétafa (</w:t>
      </w:r>
      <w:proofErr w:type="spellStart"/>
      <w:r w:rsidRPr="00FB10B4">
        <w:rPr>
          <w:rStyle w:val="CharacterStyle2"/>
        </w:rPr>
        <w:t>A.esculushippocastarium</w:t>
      </w:r>
      <w:proofErr w:type="spellEnd"/>
      <w:r w:rsidRPr="00FB10B4">
        <w:rPr>
          <w:rStyle w:val="CharacterStyle2"/>
        </w:rPr>
        <w:t>), molyhos tölgy (</w:t>
      </w:r>
      <w:proofErr w:type="spellStart"/>
      <w:r w:rsidRPr="00FB10B4">
        <w:rPr>
          <w:rStyle w:val="CharacterStyle2"/>
        </w:rPr>
        <w:t>Quercuspubescens</w:t>
      </w:r>
      <w:proofErr w:type="spellEnd"/>
      <w:r w:rsidRPr="00FB10B4">
        <w:rPr>
          <w:rStyle w:val="CharacterStyle2"/>
        </w:rPr>
        <w:t>), kocsánytalan tölgy (</w:t>
      </w:r>
      <w:proofErr w:type="spellStart"/>
      <w:r w:rsidRPr="00FB10B4">
        <w:rPr>
          <w:rStyle w:val="CharacterStyle2"/>
        </w:rPr>
        <w:t>Quercusoetrae</w:t>
      </w:r>
      <w:proofErr w:type="spellEnd"/>
      <w:r w:rsidRPr="00FB10B4">
        <w:rPr>
          <w:rStyle w:val="CharacterStyle2"/>
        </w:rPr>
        <w:t>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t>További honos fafajok</w:t>
      </w:r>
    </w:p>
    <w:p w:rsidR="001F2B1E" w:rsidRPr="00FB10B4" w:rsidRDefault="001F2B1E" w:rsidP="001F2B1E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</w:rPr>
      </w:pPr>
      <w:proofErr w:type="gramStart"/>
      <w:r w:rsidRPr="00FB10B4">
        <w:rPr>
          <w:rStyle w:val="CharacterStyle2"/>
        </w:rPr>
        <w:t>mezei</w:t>
      </w:r>
      <w:proofErr w:type="gramEnd"/>
      <w:r w:rsidRPr="00FB10B4">
        <w:rPr>
          <w:rStyle w:val="CharacterStyle2"/>
        </w:rPr>
        <w:t xml:space="preserve"> juhar (</w:t>
      </w:r>
      <w:proofErr w:type="spellStart"/>
      <w:r w:rsidRPr="00FB10B4">
        <w:rPr>
          <w:rStyle w:val="CharacterStyle2"/>
        </w:rPr>
        <w:t>Acercampestre</w:t>
      </w:r>
      <w:proofErr w:type="spellEnd"/>
      <w:r w:rsidRPr="00FB10B4">
        <w:rPr>
          <w:rStyle w:val="CharacterStyle2"/>
        </w:rPr>
        <w:t>), mezei szil (</w:t>
      </w:r>
      <w:proofErr w:type="spellStart"/>
      <w:r w:rsidRPr="00FB10B4">
        <w:rPr>
          <w:rStyle w:val="CharacterStyle2"/>
        </w:rPr>
        <w:t>Ulmus</w:t>
      </w:r>
      <w:proofErr w:type="spellEnd"/>
      <w:r w:rsidRPr="00FB10B4">
        <w:rPr>
          <w:rStyle w:val="CharacterStyle2"/>
        </w:rPr>
        <w:t xml:space="preserve"> minor), magas kőris (</w:t>
      </w:r>
      <w:proofErr w:type="spellStart"/>
      <w:r w:rsidRPr="00FB10B4">
        <w:rPr>
          <w:rStyle w:val="CharacterStyle2"/>
        </w:rPr>
        <w:t>Fraxinusexceksior</w:t>
      </w:r>
      <w:proofErr w:type="spellEnd"/>
      <w:r w:rsidRPr="00FB10B4">
        <w:rPr>
          <w:rStyle w:val="CharacterStyle2"/>
        </w:rPr>
        <w:t>), virágos v. mannakőris (</w:t>
      </w:r>
      <w:proofErr w:type="spellStart"/>
      <w:r w:rsidRPr="00FB10B4">
        <w:rPr>
          <w:rStyle w:val="CharacterStyle2"/>
        </w:rPr>
        <w:t>Fraxinusomus</w:t>
      </w:r>
      <w:proofErr w:type="spellEnd"/>
      <w:r w:rsidRPr="00FB10B4">
        <w:rPr>
          <w:rStyle w:val="CharacterStyle2"/>
        </w:rPr>
        <w:t>), madárberkenye (</w:t>
      </w:r>
      <w:proofErr w:type="spellStart"/>
      <w:r w:rsidRPr="00FB10B4">
        <w:rPr>
          <w:rStyle w:val="CharacterStyle2"/>
        </w:rPr>
        <w:t>Sorbusaucuparia</w:t>
      </w:r>
      <w:proofErr w:type="spellEnd"/>
      <w:r w:rsidRPr="00FB10B4">
        <w:rPr>
          <w:rStyle w:val="CharacterStyle2"/>
        </w:rPr>
        <w:t>) Színezheti az összetételt egy-egy rezgő nyár (</w:t>
      </w:r>
      <w:proofErr w:type="spellStart"/>
      <w:r w:rsidRPr="00FB10B4">
        <w:rPr>
          <w:rStyle w:val="CharacterStyle2"/>
        </w:rPr>
        <w:t>Populustremula</w:t>
      </w:r>
      <w:proofErr w:type="spellEnd"/>
      <w:r w:rsidRPr="00FB10B4">
        <w:rPr>
          <w:rStyle w:val="CharacterStyle2"/>
        </w:rPr>
        <w:t>), nyír (</w:t>
      </w:r>
      <w:proofErr w:type="spellStart"/>
      <w:r w:rsidRPr="00FB10B4">
        <w:rPr>
          <w:rStyle w:val="CharacterStyle2"/>
        </w:rPr>
        <w:t>Betulapendula</w:t>
      </w:r>
      <w:proofErr w:type="spellEnd"/>
      <w:r w:rsidRPr="00FB10B4">
        <w:rPr>
          <w:rStyle w:val="CharacterStyle2"/>
        </w:rPr>
        <w:t>), eperfa (Morus alba).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t>Cserjék</w:t>
      </w:r>
    </w:p>
    <w:p w:rsidR="001F2B1E" w:rsidRPr="00FB10B4" w:rsidRDefault="001F2B1E" w:rsidP="001F2B1E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</w:rPr>
      </w:pPr>
      <w:proofErr w:type="gramStart"/>
      <w:r w:rsidRPr="00FB10B4">
        <w:rPr>
          <w:rStyle w:val="CharacterStyle2"/>
        </w:rPr>
        <w:t>madárbirs</w:t>
      </w:r>
      <w:proofErr w:type="gramEnd"/>
      <w:r w:rsidRPr="00FB10B4">
        <w:rPr>
          <w:rStyle w:val="CharacterStyle2"/>
        </w:rPr>
        <w:t xml:space="preserve"> (</w:t>
      </w:r>
      <w:proofErr w:type="spellStart"/>
      <w:r w:rsidRPr="00FB10B4">
        <w:rPr>
          <w:rStyle w:val="CharacterStyle2"/>
        </w:rPr>
        <w:t>Cotoneastersp</w:t>
      </w:r>
      <w:proofErr w:type="spellEnd"/>
      <w:r w:rsidRPr="00FB10B4">
        <w:rPr>
          <w:rStyle w:val="CharacterStyle2"/>
        </w:rPr>
        <w:t>.), cserszömörce (</w:t>
      </w:r>
      <w:proofErr w:type="spellStart"/>
      <w:r w:rsidRPr="00FB10B4">
        <w:rPr>
          <w:rStyle w:val="CharacterStyle2"/>
        </w:rPr>
        <w:t>Cotinuscoggygria</w:t>
      </w:r>
      <w:proofErr w:type="spellEnd"/>
      <w:r w:rsidRPr="00FB10B4">
        <w:rPr>
          <w:rStyle w:val="CharacterStyle2"/>
        </w:rPr>
        <w:t xml:space="preserve">), </w:t>
      </w:r>
      <w:proofErr w:type="spellStart"/>
      <w:r w:rsidRPr="00FB10B4">
        <w:rPr>
          <w:rStyle w:val="CharacterStyle2"/>
        </w:rPr>
        <w:t>egybibes</w:t>
      </w:r>
      <w:proofErr w:type="spellEnd"/>
      <w:r w:rsidRPr="00FB10B4">
        <w:rPr>
          <w:rStyle w:val="CharacterStyle2"/>
        </w:rPr>
        <w:t xml:space="preserve"> galagonya (</w:t>
      </w:r>
      <w:proofErr w:type="spellStart"/>
      <w:r w:rsidRPr="00FB10B4">
        <w:rPr>
          <w:rStyle w:val="CharacterStyle2"/>
        </w:rPr>
        <w:t>Crataegusrnonogyna</w:t>
      </w:r>
      <w:proofErr w:type="spellEnd"/>
      <w:r w:rsidRPr="00FB10B4">
        <w:rPr>
          <w:rStyle w:val="CharacterStyle2"/>
        </w:rPr>
        <w:t>), kecskerágó (</w:t>
      </w:r>
      <w:proofErr w:type="spellStart"/>
      <w:r w:rsidRPr="00FB10B4">
        <w:rPr>
          <w:rStyle w:val="CharacterStyle2"/>
        </w:rPr>
        <w:t>Euonymussp</w:t>
      </w:r>
      <w:proofErr w:type="spellEnd"/>
      <w:r w:rsidRPr="00FB10B4">
        <w:rPr>
          <w:rStyle w:val="CharacterStyle2"/>
        </w:rPr>
        <w:t>.), veresgyűrű som (</w:t>
      </w:r>
      <w:proofErr w:type="spellStart"/>
      <w:r w:rsidRPr="00FB10B4">
        <w:rPr>
          <w:rStyle w:val="CharacterStyle2"/>
        </w:rPr>
        <w:t>Cornussanguinea</w:t>
      </w:r>
      <w:proofErr w:type="spellEnd"/>
      <w:r w:rsidRPr="00FB10B4">
        <w:rPr>
          <w:rStyle w:val="CharacterStyle2"/>
        </w:rPr>
        <w:t>), kökény (</w:t>
      </w:r>
      <w:proofErr w:type="spellStart"/>
      <w:r w:rsidRPr="00FB10B4">
        <w:rPr>
          <w:rStyle w:val="CharacterStyle2"/>
        </w:rPr>
        <w:t>Prunus</w:t>
      </w:r>
      <w:proofErr w:type="spellEnd"/>
      <w:r w:rsidRPr="00FB10B4">
        <w:rPr>
          <w:rStyle w:val="CharacterStyle2"/>
        </w:rPr>
        <w:t xml:space="preserve"> spionosa)</w:t>
      </w:r>
    </w:p>
    <w:p w:rsidR="001F2B1E" w:rsidRPr="00FB10B4" w:rsidRDefault="001F2B1E" w:rsidP="001F2B1E">
      <w:pPr>
        <w:pStyle w:val="Style27"/>
        <w:numPr>
          <w:ilvl w:val="0"/>
          <w:numId w:val="3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</w:rPr>
      </w:pPr>
      <w:r w:rsidRPr="00FB10B4">
        <w:rPr>
          <w:rStyle w:val="CharacterStyle2"/>
        </w:rPr>
        <w:t>Díszcserjék</w:t>
      </w:r>
    </w:p>
    <w:p w:rsidR="001F2B1E" w:rsidRPr="00FB10B4" w:rsidRDefault="001F2B1E" w:rsidP="001F2B1E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</w:rPr>
      </w:pPr>
      <w:proofErr w:type="gramStart"/>
      <w:r w:rsidRPr="00FB10B4">
        <w:rPr>
          <w:rStyle w:val="CharacterStyle2"/>
        </w:rPr>
        <w:t>közönséges</w:t>
      </w:r>
      <w:proofErr w:type="gramEnd"/>
      <w:r w:rsidRPr="00FB10B4">
        <w:rPr>
          <w:rStyle w:val="CharacterStyle2"/>
        </w:rPr>
        <w:t xml:space="preserve"> fagyal (</w:t>
      </w:r>
      <w:proofErr w:type="spellStart"/>
      <w:r w:rsidRPr="00FB10B4">
        <w:rPr>
          <w:rStyle w:val="CharacterStyle2"/>
        </w:rPr>
        <w:t>Ligustrumvulgare</w:t>
      </w:r>
      <w:proofErr w:type="spellEnd"/>
      <w:r w:rsidRPr="00FB10B4">
        <w:rPr>
          <w:rStyle w:val="CharacterStyle2"/>
        </w:rPr>
        <w:t>), mogyoró (</w:t>
      </w:r>
      <w:proofErr w:type="spellStart"/>
      <w:r w:rsidRPr="00FB10B4">
        <w:rPr>
          <w:rStyle w:val="CharacterStyle2"/>
        </w:rPr>
        <w:t>Corylusavellana</w:t>
      </w:r>
      <w:proofErr w:type="spellEnd"/>
      <w:r w:rsidRPr="00FB10B4">
        <w:rPr>
          <w:rStyle w:val="CharacterStyle2"/>
        </w:rPr>
        <w:t>), orgona (</w:t>
      </w:r>
      <w:proofErr w:type="spellStart"/>
      <w:r w:rsidRPr="00FB10B4">
        <w:rPr>
          <w:rStyle w:val="CharacterStyle2"/>
        </w:rPr>
        <w:t>Syringavulgaris</w:t>
      </w:r>
      <w:proofErr w:type="spellEnd"/>
      <w:r w:rsidRPr="00FB10B4">
        <w:rPr>
          <w:rStyle w:val="CharacterStyle2"/>
        </w:rPr>
        <w:t>), A lakókerteknél felsorolt gyümölcsfák, cserjék, kúszónövények is alkalmazhatók a hely függvényében.</w:t>
      </w:r>
    </w:p>
    <w:sectPr w:rsidR="001F2B1E" w:rsidRPr="00FB10B4" w:rsidSect="006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2">
    <w:nsid w:val="6AC303BB"/>
    <w:multiLevelType w:val="hybridMultilevel"/>
    <w:tmpl w:val="893C6B2E"/>
    <w:lvl w:ilvl="0" w:tplc="040E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08"/>
    <w:rsid w:val="001422E3"/>
    <w:rsid w:val="001F2B1E"/>
    <w:rsid w:val="003D5304"/>
    <w:rsid w:val="00577B08"/>
    <w:rsid w:val="00672719"/>
    <w:rsid w:val="006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B1E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6262"/>
    <w:pPr>
      <w:keepNext/>
      <w:keepLines/>
      <w:numPr>
        <w:numId w:val="2"/>
      </w:numPr>
      <w:spacing w:after="0" w:line="240" w:lineRule="auto"/>
      <w:jc w:val="both"/>
      <w:outlineLvl w:val="2"/>
    </w:pPr>
    <w:rPr>
      <w:rFonts w:ascii="Trebuchet MS" w:eastAsiaTheme="majorEastAsia" w:hAnsi="Trebuchet MS" w:cstheme="majorBidi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6262"/>
    <w:rPr>
      <w:rFonts w:ascii="Trebuchet MS" w:eastAsiaTheme="majorEastAsia" w:hAnsi="Trebuchet MS" w:cstheme="majorBidi"/>
      <w:bCs/>
      <w:sz w:val="20"/>
    </w:rPr>
  </w:style>
  <w:style w:type="paragraph" w:styleId="Listaszerbekezds">
    <w:name w:val="List Paragraph"/>
    <w:basedOn w:val="Norml"/>
    <w:uiPriority w:val="34"/>
    <w:qFormat/>
    <w:rsid w:val="006E6262"/>
    <w:pPr>
      <w:spacing w:after="160" w:line="259" w:lineRule="auto"/>
      <w:ind w:left="720"/>
      <w:contextualSpacing/>
    </w:pPr>
  </w:style>
  <w:style w:type="paragraph" w:customStyle="1" w:styleId="bekezds1">
    <w:name w:val="bekezdés1"/>
    <w:basedOn w:val="Norml"/>
    <w:rsid w:val="001F2B1E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character" w:customStyle="1" w:styleId="CharacterStyle2">
    <w:name w:val="Character Style 2"/>
    <w:uiPriority w:val="99"/>
    <w:rsid w:val="001F2B1E"/>
    <w:rPr>
      <w:sz w:val="20"/>
      <w:szCs w:val="20"/>
    </w:rPr>
  </w:style>
  <w:style w:type="paragraph" w:customStyle="1" w:styleId="Style27">
    <w:name w:val="Style 27"/>
    <w:basedOn w:val="Norml"/>
    <w:uiPriority w:val="99"/>
    <w:rsid w:val="001F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3</cp:revision>
  <dcterms:created xsi:type="dcterms:W3CDTF">2017-12-21T21:49:00Z</dcterms:created>
  <dcterms:modified xsi:type="dcterms:W3CDTF">2017-12-21T21:49:00Z</dcterms:modified>
</cp:coreProperties>
</file>