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72" w:rsidRDefault="00B64D72" w:rsidP="00B64D72">
      <w:pPr>
        <w:rPr>
          <w:rFonts w:ascii="Times New Roman" w:hAnsi="Times New Roman"/>
        </w:rPr>
      </w:pPr>
    </w:p>
    <w:p w:rsidR="00B64D72" w:rsidRDefault="00B64D72" w:rsidP="00B64D72">
      <w:pPr>
        <w:rPr>
          <w:rFonts w:ascii="Times New Roman" w:hAnsi="Times New Roman"/>
        </w:rPr>
      </w:pPr>
    </w:p>
    <w:p w:rsidR="00B64D72" w:rsidRDefault="00B64D72" w:rsidP="00B64D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1. melléklet a </w:t>
      </w:r>
      <w:r w:rsidR="00987BB0">
        <w:rPr>
          <w:rFonts w:ascii="Times New Roman" w:hAnsi="Times New Roman"/>
        </w:rPr>
        <w:t>2</w:t>
      </w:r>
      <w:bookmarkStart w:id="0" w:name="_GoBack"/>
      <w:bookmarkEnd w:id="0"/>
      <w:r>
        <w:rPr>
          <w:rFonts w:ascii="Times New Roman" w:hAnsi="Times New Roman"/>
        </w:rPr>
        <w:t>/201</w:t>
      </w:r>
      <w:r w:rsidR="00987BB0">
        <w:rPr>
          <w:rFonts w:ascii="Times New Roman" w:hAnsi="Times New Roman"/>
        </w:rPr>
        <w:t>8.(I</w:t>
      </w:r>
      <w:r>
        <w:rPr>
          <w:rFonts w:ascii="Times New Roman" w:hAnsi="Times New Roman"/>
        </w:rPr>
        <w:t>II.1</w:t>
      </w:r>
      <w:r w:rsidR="00987BB0">
        <w:rPr>
          <w:rFonts w:ascii="Times New Roman" w:hAnsi="Times New Roman"/>
        </w:rPr>
        <w:t>9</w:t>
      </w:r>
      <w:r>
        <w:rPr>
          <w:rFonts w:ascii="Times New Roman" w:hAnsi="Times New Roman"/>
        </w:rPr>
        <w:t>.) önkormányzati rendelethez</w:t>
      </w:r>
    </w:p>
    <w:p w:rsidR="00B64D72" w:rsidRDefault="00B64D72" w:rsidP="00B64D7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Szociális étkeztetés térítési díjának számítása </w:t>
      </w:r>
    </w:p>
    <w:p w:rsidR="00B64D72" w:rsidRDefault="00B64D72" w:rsidP="00B64D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korrigálható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B64D72" w:rsidRDefault="00B64D72" w:rsidP="00B64D7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étkeztetés tervezett teljes költsége:</w:t>
      </w:r>
      <w:r>
        <w:rPr>
          <w:rFonts w:ascii="Times New Roman" w:hAnsi="Times New Roman"/>
          <w:sz w:val="24"/>
          <w:szCs w:val="24"/>
        </w:rPr>
        <w:tab/>
        <w:t>6.665 e Ft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7530 adag 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( 30</w:t>
      </w:r>
      <w:proofErr w:type="gramEnd"/>
      <w:r>
        <w:rPr>
          <w:rFonts w:ascii="Times New Roman" w:hAnsi="Times New Roman"/>
          <w:sz w:val="24"/>
          <w:szCs w:val="24"/>
        </w:rPr>
        <w:t xml:space="preserve"> fő x 251)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</w:t>
      </w:r>
      <w:r>
        <w:rPr>
          <w:rFonts w:ascii="Times New Roman" w:hAnsi="Times New Roman"/>
          <w:sz w:val="24"/>
          <w:szCs w:val="24"/>
        </w:rPr>
        <w:tab/>
        <w:t>885 Ft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(6.665 e Ft / 7530 adaggal) 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885 Ft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B64D72" w:rsidRDefault="00B64D72" w:rsidP="00B64D72"/>
    <w:p w:rsidR="00B64D72" w:rsidRDefault="00B64D72" w:rsidP="00B64D72"/>
    <w:p w:rsidR="00B64D72" w:rsidRDefault="00B64D72" w:rsidP="00B64D72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B64D72" w:rsidRDefault="00B64D72" w:rsidP="00B64D7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napi összege: </w:t>
      </w:r>
      <w:r>
        <w:rPr>
          <w:rFonts w:ascii="Times New Roman" w:hAnsi="Times New Roman"/>
          <w:sz w:val="24"/>
          <w:szCs w:val="24"/>
        </w:rPr>
        <w:tab/>
        <w:t xml:space="preserve">221 Ft / fő 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251) </w:t>
      </w:r>
    </w:p>
    <w:p w:rsidR="00B64D72" w:rsidRDefault="00B64D72" w:rsidP="00B64D7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664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(885 Ft – 221 Ft) </w:t>
      </w:r>
    </w:p>
    <w:p w:rsidR="00B64D72" w:rsidRDefault="00B64D72" w:rsidP="00B64D72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Fizetendő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420Ft  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(rendelet 7.§. (2) bekezdés c) pontja maximum összege)</w:t>
      </w:r>
    </w:p>
    <w:p w:rsidR="00B64D72" w:rsidRDefault="00B64D72" w:rsidP="00B64D7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D72" w:rsidRDefault="00B64D72" w:rsidP="00B64D72"/>
    <w:p w:rsidR="00B64D72" w:rsidRDefault="00B64D72" w:rsidP="00B64D72"/>
    <w:p w:rsidR="00B64D72" w:rsidRDefault="00B64D72" w:rsidP="00B64D72"/>
    <w:p w:rsidR="00B64D72" w:rsidRDefault="00B64D72" w:rsidP="00B64D72"/>
    <w:p w:rsidR="00B64D72" w:rsidRDefault="00B64D72" w:rsidP="00B64D72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12"/>
    <w:rsid w:val="00452D11"/>
    <w:rsid w:val="004D4C02"/>
    <w:rsid w:val="00987BB0"/>
    <w:rsid w:val="00A956B1"/>
    <w:rsid w:val="00B64D72"/>
    <w:rsid w:val="00EA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4D7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rFonts w:eastAsia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4D7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rFonts w:eastAsia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5</cp:revision>
  <dcterms:created xsi:type="dcterms:W3CDTF">2018-03-19T11:43:00Z</dcterms:created>
  <dcterms:modified xsi:type="dcterms:W3CDTF">2018-03-19T12:47:00Z</dcterms:modified>
</cp:coreProperties>
</file>