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B2182" w14:textId="77777777" w:rsidR="00663242" w:rsidRDefault="00663242" w:rsidP="00663242">
      <w:pPr>
        <w:pStyle w:val="Cmsor1"/>
        <w:ind w:left="4248" w:firstLine="708"/>
        <w:jc w:val="both"/>
        <w:rPr>
          <w:b w:val="0"/>
          <w:sz w:val="20"/>
        </w:rPr>
      </w:pPr>
      <w:r>
        <w:rPr>
          <w:b w:val="0"/>
          <w:sz w:val="20"/>
        </w:rPr>
        <w:t>1. melléklet a 8/2019. (X.29.) önkormányzati rendelethez</w:t>
      </w:r>
    </w:p>
    <w:p w14:paraId="18013A77" w14:textId="77777777" w:rsidR="00663242" w:rsidRDefault="00663242" w:rsidP="00663242">
      <w:pPr>
        <w:pStyle w:val="Cmsor2"/>
        <w:jc w:val="center"/>
        <w:rPr>
          <w:szCs w:val="24"/>
        </w:rPr>
      </w:pPr>
    </w:p>
    <w:p w14:paraId="022CB097" w14:textId="77777777" w:rsidR="00663242" w:rsidRDefault="00663242" w:rsidP="00663242">
      <w:pPr>
        <w:pStyle w:val="Cmsor2"/>
        <w:jc w:val="center"/>
        <w:rPr>
          <w:szCs w:val="24"/>
        </w:rPr>
      </w:pPr>
      <w:r>
        <w:rPr>
          <w:szCs w:val="24"/>
        </w:rPr>
        <w:t>Képviselő-testület szerveire átruházott hatáskörök jegyzéke</w:t>
      </w:r>
    </w:p>
    <w:p w14:paraId="077F3DAB" w14:textId="77777777" w:rsidR="00663242" w:rsidRDefault="00663242" w:rsidP="00663242">
      <w:pPr>
        <w:rPr>
          <w:szCs w:val="24"/>
        </w:rPr>
      </w:pPr>
    </w:p>
    <w:tbl>
      <w:tblPr>
        <w:tblW w:w="90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7784"/>
      </w:tblGrid>
      <w:tr w:rsidR="00663242" w14:paraId="7C243B55" w14:textId="77777777" w:rsidTr="00DF25DF">
        <w:trPr>
          <w:trHeight w:val="218"/>
        </w:trPr>
        <w:tc>
          <w:tcPr>
            <w:tcW w:w="9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6E10" w14:textId="77777777" w:rsidR="00663242" w:rsidRDefault="00663242" w:rsidP="00DF25D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I. Polgármesterre átruházott hatáskörök:</w:t>
            </w:r>
          </w:p>
        </w:tc>
      </w:tr>
      <w:tr w:rsidR="00663242" w14:paraId="1A5B5D48" w14:textId="77777777" w:rsidTr="00DF25DF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3381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86A7" w14:textId="77777777" w:rsidR="00663242" w:rsidRDefault="00663242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Dönt a mindenkori költségvetési rendeletben rá átruházott hatáskör szerinti előirányzat felhasználásáról.</w:t>
            </w:r>
          </w:p>
        </w:tc>
      </w:tr>
      <w:tr w:rsidR="00663242" w14:paraId="7798BEEB" w14:textId="77777777" w:rsidTr="00DF25DF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57DE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A8C6" w14:textId="77777777" w:rsidR="00663242" w:rsidRDefault="00663242" w:rsidP="00DF25DF">
            <w:pPr>
              <w:pStyle w:val="lfej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A Képviselő-testület önkormányzati hatósági ügyben hozott határozata elleni bírósági felülvizsgálatot kérő keresetlevélnek az illetékes bírósághoz való továbbítása.</w:t>
            </w:r>
          </w:p>
        </w:tc>
      </w:tr>
      <w:tr w:rsidR="00663242" w14:paraId="521FB739" w14:textId="77777777" w:rsidTr="00DF25DF">
        <w:trPr>
          <w:trHeight w:val="21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3B7A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85C6" w14:textId="77777777" w:rsidR="00663242" w:rsidRDefault="00663242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 képviselő-testület a pénzben és természetben nyújtható szociális ellátásokról szóló önkormányzati rendeletében átruházott hatáskörben dönt:</w:t>
            </w:r>
          </w:p>
        </w:tc>
      </w:tr>
      <w:tr w:rsidR="00663242" w14:paraId="24757016" w14:textId="77777777" w:rsidTr="00DF25DF">
        <w:trPr>
          <w:trHeight w:val="218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EBB0" w14:textId="77777777" w:rsidR="00663242" w:rsidRDefault="00663242" w:rsidP="00DF25DF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7A95" w14:textId="77777777" w:rsidR="00663242" w:rsidRDefault="00663242" w:rsidP="00DF25DF">
            <w:pPr>
              <w:ind w:left="355"/>
              <w:rPr>
                <w:szCs w:val="24"/>
              </w:rPr>
            </w:pPr>
            <w:r>
              <w:rPr>
                <w:szCs w:val="24"/>
              </w:rPr>
              <w:t>a)</w:t>
            </w:r>
            <w:r>
              <w:rPr>
                <w:szCs w:val="24"/>
              </w:rPr>
              <w:tab/>
              <w:t>települési támogatásokról,</w:t>
            </w:r>
          </w:p>
        </w:tc>
      </w:tr>
      <w:tr w:rsidR="00663242" w14:paraId="36A81075" w14:textId="77777777" w:rsidTr="00DF25DF">
        <w:trPr>
          <w:trHeight w:val="218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BA2F" w14:textId="77777777" w:rsidR="00663242" w:rsidRDefault="00663242" w:rsidP="00DF25DF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6DC6" w14:textId="77777777" w:rsidR="00663242" w:rsidRDefault="00663242" w:rsidP="00DF25DF">
            <w:pPr>
              <w:ind w:left="355"/>
              <w:rPr>
                <w:szCs w:val="24"/>
              </w:rPr>
            </w:pPr>
            <w:r>
              <w:rPr>
                <w:szCs w:val="24"/>
              </w:rPr>
              <w:t>b)</w:t>
            </w:r>
            <w:r>
              <w:rPr>
                <w:szCs w:val="24"/>
              </w:rPr>
              <w:tab/>
              <w:t>méltányossági közgyógyellátásról,</w:t>
            </w:r>
          </w:p>
        </w:tc>
      </w:tr>
      <w:tr w:rsidR="00663242" w14:paraId="61EEE6B8" w14:textId="77777777" w:rsidTr="00DF25DF">
        <w:trPr>
          <w:trHeight w:val="218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35F0" w14:textId="77777777" w:rsidR="00663242" w:rsidRDefault="00663242" w:rsidP="00DF25DF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256E" w14:textId="77777777" w:rsidR="00663242" w:rsidRDefault="00663242" w:rsidP="00DF25DF">
            <w:pPr>
              <w:ind w:left="355"/>
              <w:jc w:val="both"/>
              <w:rPr>
                <w:szCs w:val="24"/>
              </w:rPr>
            </w:pPr>
            <w:r>
              <w:rPr>
                <w:szCs w:val="24"/>
              </w:rPr>
              <w:t>c)</w:t>
            </w:r>
            <w:r>
              <w:rPr>
                <w:szCs w:val="24"/>
              </w:rPr>
              <w:tab/>
              <w:t>a hatáskörébe tartozó ellátások esetében a jogosulatlanul és rosszhiszeműen igénybe vett szociális ellátás visszafizetéséről, indokolt esetben legfeljebb 12 havi részletfizetés engedélyezéséről,</w:t>
            </w:r>
          </w:p>
        </w:tc>
      </w:tr>
      <w:tr w:rsidR="00663242" w14:paraId="3F1BBBFC" w14:textId="77777777" w:rsidTr="00DF25DF">
        <w:trPr>
          <w:trHeight w:val="218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010E" w14:textId="77777777" w:rsidR="00663242" w:rsidRDefault="00663242" w:rsidP="00DF25DF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3241" w14:textId="77777777" w:rsidR="00663242" w:rsidRDefault="00663242" w:rsidP="00DF25DF">
            <w:pPr>
              <w:ind w:left="355"/>
              <w:rPr>
                <w:szCs w:val="24"/>
              </w:rPr>
            </w:pPr>
            <w:r>
              <w:rPr>
                <w:szCs w:val="24"/>
              </w:rPr>
              <w:t>d)   méltányossági ápolási díj</w:t>
            </w:r>
          </w:p>
        </w:tc>
      </w:tr>
      <w:tr w:rsidR="00663242" w14:paraId="35758077" w14:textId="77777777" w:rsidTr="00DF25DF">
        <w:trPr>
          <w:trHeight w:val="218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7A41" w14:textId="77777777" w:rsidR="00663242" w:rsidRDefault="00663242" w:rsidP="00DF25DF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E2F0" w14:textId="77777777" w:rsidR="00663242" w:rsidRDefault="00663242" w:rsidP="00663242">
            <w:pPr>
              <w:numPr>
                <w:ilvl w:val="0"/>
                <w:numId w:val="2"/>
              </w:num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köztemetés költségeire vonatkozó megtérítési kötelezettség részben vagy egészben történő mentesítéséről</w:t>
            </w:r>
          </w:p>
          <w:p w14:paraId="32B3C411" w14:textId="77777777" w:rsidR="00663242" w:rsidRDefault="00663242" w:rsidP="00663242">
            <w:pPr>
              <w:numPr>
                <w:ilvl w:val="0"/>
                <w:numId w:val="2"/>
              </w:num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önkormányzati pénzbeli szociális kölcsön nyújtásáról</w:t>
            </w:r>
          </w:p>
        </w:tc>
      </w:tr>
      <w:tr w:rsidR="00663242" w14:paraId="7E718888" w14:textId="77777777" w:rsidTr="00DF25DF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2939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614D" w14:textId="77777777" w:rsidR="00663242" w:rsidRDefault="00663242" w:rsidP="00DF25DF">
            <w:pPr>
              <w:rPr>
                <w:szCs w:val="24"/>
              </w:rPr>
            </w:pPr>
            <w:r>
              <w:rPr>
                <w:szCs w:val="24"/>
              </w:rPr>
              <w:t>Dönt a megállapított személyi térítési díj csökkentéséről.</w:t>
            </w:r>
          </w:p>
        </w:tc>
      </w:tr>
      <w:tr w:rsidR="00663242" w14:paraId="32E81DB5" w14:textId="77777777" w:rsidTr="00DF25DF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C722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5BC2" w14:textId="77777777" w:rsidR="00663242" w:rsidRDefault="00663242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Dönt az Önkormányzat követeléseinek lemondásáról, mérsékléséről, elengedéséről, átütemezéséről, részletfizetés engedélyezéséről, részletfizetés felfüggesztéséről, részletfizetés átütemezéséről – kivéve az önkormányzat költségvetési intézményei követelései tekintetében – írásbeli kérelem alapján, 100.000 Ft értékhatárig.</w:t>
            </w:r>
          </w:p>
        </w:tc>
      </w:tr>
      <w:tr w:rsidR="00663242" w14:paraId="47300D08" w14:textId="77777777" w:rsidTr="00DF25DF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88E4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4807" w14:textId="77777777" w:rsidR="00663242" w:rsidRDefault="00663242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Testvértelepülésnek, illetőleg kapcsolatfelvétel céljából más belföldi, illetve külföldi településnek ajándék emléktárgyat adományozhat.</w:t>
            </w:r>
          </w:p>
        </w:tc>
      </w:tr>
      <w:tr w:rsidR="00663242" w14:paraId="7CC26FDC" w14:textId="77777777" w:rsidTr="00DF25DF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D99B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BFCA" w14:textId="77777777" w:rsidR="00663242" w:rsidRDefault="00663242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Dönt az önkormányzat tulajdonán kiadandó építési és bontási engedélyhez való tulajdonosi hozzájárulás tekintetében.</w:t>
            </w:r>
          </w:p>
        </w:tc>
      </w:tr>
      <w:tr w:rsidR="00663242" w14:paraId="14AB6CE9" w14:textId="77777777" w:rsidTr="00DF25DF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610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897E" w14:textId="77777777" w:rsidR="00663242" w:rsidRDefault="00663242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Dönt a szakhatósági engedélyekhez, illetve a székhely/telephely bejegyzésére irányuló (cég)bírósági eljáráshoz szükséges tulajdonosi hozzájárulás tekintetében.</w:t>
            </w:r>
          </w:p>
        </w:tc>
      </w:tr>
      <w:tr w:rsidR="00663242" w14:paraId="34020157" w14:textId="77777777" w:rsidTr="00DF25DF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AB9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A7E6" w14:textId="77777777" w:rsidR="00663242" w:rsidRDefault="00663242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Dönt közmű díjfizető változásának átírásához szükséges tulajdonosi hozzájárulás tekintetében.</w:t>
            </w:r>
          </w:p>
        </w:tc>
      </w:tr>
      <w:tr w:rsidR="00663242" w14:paraId="0451BEF6" w14:textId="77777777" w:rsidTr="00DF25DF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37D4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95F5" w14:textId="77777777" w:rsidR="00663242" w:rsidRDefault="00663242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Az Önkormányzat közbeszerzései, és beszerzései tekintetében gyakorolja az ajánlatkérő jogait.</w:t>
            </w:r>
          </w:p>
        </w:tc>
      </w:tr>
      <w:tr w:rsidR="00663242" w14:paraId="34E9484E" w14:textId="77777777" w:rsidTr="00DF25DF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8682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0A55" w14:textId="77777777" w:rsidR="00663242" w:rsidRDefault="00663242" w:rsidP="00DF25DF">
            <w:pPr>
              <w:rPr>
                <w:szCs w:val="24"/>
              </w:rPr>
            </w:pPr>
            <w:r>
              <w:rPr>
                <w:szCs w:val="24"/>
              </w:rPr>
              <w:t>Dönt a helyiség – bérbeadási pályázat kiírásáról.</w:t>
            </w:r>
          </w:p>
        </w:tc>
      </w:tr>
      <w:tr w:rsidR="00663242" w14:paraId="20B44172" w14:textId="77777777" w:rsidTr="00DF25DF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A19D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F69B" w14:textId="77777777" w:rsidR="00663242" w:rsidRDefault="00663242" w:rsidP="00DF25DF">
            <w:pPr>
              <w:rPr>
                <w:szCs w:val="24"/>
              </w:rPr>
            </w:pPr>
            <w:r>
              <w:rPr>
                <w:szCs w:val="24"/>
              </w:rPr>
              <w:t>Dönt kétszeri eredménytelen pályázat után a helyiség bérbeadásáról.</w:t>
            </w:r>
          </w:p>
        </w:tc>
      </w:tr>
      <w:tr w:rsidR="00663242" w14:paraId="706F828B" w14:textId="77777777" w:rsidTr="00DF25DF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818A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5DC8" w14:textId="77777777" w:rsidR="00663242" w:rsidRDefault="00663242" w:rsidP="00DF25DF">
            <w:pPr>
              <w:pStyle w:val="lfej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Dönt a kezelő kezdeményezésére a bérleti szerződés, írásban történő felmondásáról.</w:t>
            </w:r>
          </w:p>
        </w:tc>
      </w:tr>
      <w:tr w:rsidR="00663242" w14:paraId="0D42096F" w14:textId="77777777" w:rsidTr="00DF25DF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F3E1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A913" w14:textId="77777777" w:rsidR="00663242" w:rsidRDefault="00663242" w:rsidP="00DF25DF">
            <w:pPr>
              <w:jc w:val="both"/>
              <w:rPr>
                <w:szCs w:val="24"/>
              </w:rPr>
            </w:pPr>
            <w:r>
              <w:t>A Polgármester dönt a közterület-használati engedélyek tárgyában</w:t>
            </w:r>
            <w:r>
              <w:rPr>
                <w:szCs w:val="24"/>
              </w:rPr>
              <w:t xml:space="preserve"> </w:t>
            </w:r>
          </w:p>
        </w:tc>
      </w:tr>
      <w:tr w:rsidR="00663242" w14:paraId="5DE6C9C3" w14:textId="77777777" w:rsidTr="00DF25DF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A9E6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B216" w14:textId="77777777" w:rsidR="00663242" w:rsidRDefault="00663242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Dönt az Önkormányzat működésével kapcsolatos, jogszabályban meghatározott belső szabályzatok jóváhagyásáról.</w:t>
            </w:r>
          </w:p>
        </w:tc>
      </w:tr>
      <w:tr w:rsidR="00663242" w14:paraId="3B775256" w14:textId="77777777" w:rsidTr="00DF25DF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A86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7AF8" w14:textId="77777777" w:rsidR="00663242" w:rsidRDefault="00663242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 Polgármester intézkedik az Önkormányzat javára bejegyzett jelzálogjog és ahhoz kapcsolódó elidegenítési és terhelési tilalom törlése iránt, illetve az ügyfél kérelmére – az Önkormányzat érdekeinek figyelembe vételével – a ranghelycseréhez történő hozzájárulás megadása érdekében.</w:t>
            </w:r>
          </w:p>
        </w:tc>
      </w:tr>
      <w:tr w:rsidR="00663242" w14:paraId="2452979D" w14:textId="77777777" w:rsidTr="00DF25DF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89B4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9DC6" w14:textId="77777777" w:rsidR="00663242" w:rsidRDefault="00663242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Dönt a szociális intézmények működési engedélyeztetési eljárása során a Békés Megyei Kormányhivatal által hozott hatósági határozat esetén biztosított fellebbezési jog gyakorlásáról.</w:t>
            </w:r>
          </w:p>
        </w:tc>
      </w:tr>
      <w:tr w:rsidR="00663242" w14:paraId="78DFE55F" w14:textId="77777777" w:rsidTr="00DF25DF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1DFB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E5A7" w14:textId="77777777" w:rsidR="00663242" w:rsidRDefault="00663242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Gyakorolja az ügyfél (kérelmező) jogait az önkormányzati tulajdonban lévő ingatlanokkal kapcsolatos olyan ingatlan-nyilvántartási és építésügyi hatósági eljárásban, amelyek az ingatlanok tulajdongának változásával nem járnak, valamint az önkormányzat kötelező feladatellátására szolgáló – megállapodás alapján – használatba adott vagyon esetén a tulajdonost illető nyilatkozattételi jogot</w:t>
            </w:r>
          </w:p>
        </w:tc>
      </w:tr>
      <w:tr w:rsidR="00663242" w14:paraId="318A27AA" w14:textId="77777777" w:rsidTr="00DF25DF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6613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AFF6" w14:textId="77777777" w:rsidR="00663242" w:rsidRDefault="00663242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Az államháztartáson kívülre átadott pénzeszközökkel kapcsolatos támogatási szerződéseknél dönt az elszámolási határidő módosításáról, valamint a támogatás céljának módosításáról, amennyiben az működési és felhalmozási célon belüli változás, illetve amennyiben a megváltoztatni kívánt célra történő felhasználást a pályázati kiírás lehetővé teszi.</w:t>
            </w:r>
          </w:p>
        </w:tc>
      </w:tr>
      <w:tr w:rsidR="00663242" w14:paraId="0D1CA92A" w14:textId="77777777" w:rsidTr="00DF25DF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808C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41E5" w14:textId="77777777" w:rsidR="00663242" w:rsidRDefault="00663242" w:rsidP="00DF25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 Képviselő-testület Munkatervében foglaltak figyelembevételével dönt a soron következő Képviselő-testületi ülés napirendi pontjainak meghatározásáról, valamint arról, hogy azokat mely bizottságok tárgyalják meg.</w:t>
            </w:r>
          </w:p>
        </w:tc>
      </w:tr>
      <w:tr w:rsidR="00663242" w14:paraId="03CA5038" w14:textId="77777777" w:rsidTr="00DF25DF">
        <w:trPr>
          <w:trHeight w:val="2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61DD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1834" w14:textId="77777777" w:rsidR="00663242" w:rsidRDefault="00663242" w:rsidP="00DF25DF">
            <w:pPr>
              <w:rPr>
                <w:szCs w:val="24"/>
              </w:rPr>
            </w:pPr>
            <w:r>
              <w:rPr>
                <w:szCs w:val="24"/>
              </w:rPr>
              <w:t>Az önkormányzat tulajdonában levő közterületeken a felszíni és felszín alatti építmények, továbbá a közművek, valamint az azokkal összefüggő egyéb építmények létesítéséhez, bővítéséhez, áthelyezéséhez, valamint a már meglévő építmények ingatlan-nyilvántartási feltüntetéséhez szükséges tulajdonosi hozzájárulás megadása kérdésében.</w:t>
            </w:r>
          </w:p>
        </w:tc>
      </w:tr>
      <w:tr w:rsidR="00663242" w14:paraId="0CEBD165" w14:textId="77777777" w:rsidTr="00DF25DF">
        <w:trPr>
          <w:trHeight w:val="2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3935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56F6" w14:textId="77777777" w:rsidR="00663242" w:rsidRDefault="00663242" w:rsidP="00DF25DF">
            <w:pPr>
              <w:rPr>
                <w:szCs w:val="24"/>
              </w:rPr>
            </w:pPr>
            <w:r>
              <w:rPr>
                <w:szCs w:val="24"/>
              </w:rPr>
              <w:t>A Polgármester intézkedik az Önkormányzat vagyon- és felelősségbiztosítási szerződésében rögzített tevékenysége során keletkezett káreseményekkel kapcsolatos felelősségelismerő nyilatkozat megadása érdekében.</w:t>
            </w:r>
          </w:p>
        </w:tc>
      </w:tr>
      <w:tr w:rsidR="00663242" w14:paraId="5C8BACB6" w14:textId="77777777" w:rsidTr="00DF25DF">
        <w:trPr>
          <w:trHeight w:val="2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C1BE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7CC0" w14:textId="77777777" w:rsidR="00663242" w:rsidRDefault="00663242" w:rsidP="00DF25DF">
            <w:pPr>
              <w:rPr>
                <w:szCs w:val="24"/>
              </w:rPr>
            </w:pPr>
            <w:r>
              <w:rPr>
                <w:iCs/>
              </w:rPr>
              <w:t>A képviselő-testület - határozatképtelenség vagy határozathozatal hiánya miatt - két egymást követő alkalommal ugyanazon ügyben nem hozott döntést, a polgármester döntést hozhat, kivételt képeznek ez alól a Képviselő-testület át nem ruházható hatáskörébe tartozó, valamint a minősített többséget igénylő döntések. A polgármester a döntésről a képviselő-testületet a következő ülésen tájékoztatja</w:t>
            </w:r>
          </w:p>
        </w:tc>
      </w:tr>
      <w:tr w:rsidR="00663242" w14:paraId="75E34096" w14:textId="77777777" w:rsidTr="00DF25DF">
        <w:trPr>
          <w:trHeight w:val="2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AF96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F5CC" w14:textId="77777777" w:rsidR="00663242" w:rsidRDefault="00663242" w:rsidP="00DF25DF">
            <w:pPr>
              <w:rPr>
                <w:szCs w:val="24"/>
              </w:rPr>
            </w:pPr>
            <w:r>
              <w:rPr>
                <w:iCs/>
              </w:rPr>
              <w:t>Hozzájárulást ad az elvi építési engedélyhez, vagy építési engedélyhez kötött építmények, reklámhordozók, árnyékolók, ernyőszerkezetek, közterületen történő vagy közterület-használatnak minősülő létesítéséhez, bővítéséhez, áthelyezéséhez.</w:t>
            </w:r>
          </w:p>
        </w:tc>
      </w:tr>
      <w:tr w:rsidR="00663242" w14:paraId="60917C0C" w14:textId="77777777" w:rsidTr="00DF25DF">
        <w:trPr>
          <w:trHeight w:val="2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C483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9F8B" w14:textId="77777777" w:rsidR="00663242" w:rsidRDefault="00663242" w:rsidP="00DF25DF">
            <w:pPr>
              <w:rPr>
                <w:szCs w:val="24"/>
              </w:rPr>
            </w:pPr>
            <w:r>
              <w:rPr>
                <w:iCs/>
              </w:rPr>
              <w:t>Dönt az alkalmi (ünnepi) vásárok helyének és rendezőjének kijelöléséről, s kiadja a közterület-használati hozzájárulást</w:t>
            </w:r>
          </w:p>
        </w:tc>
      </w:tr>
      <w:tr w:rsidR="00663242" w14:paraId="23126F47" w14:textId="77777777" w:rsidTr="00DF25DF">
        <w:trPr>
          <w:trHeight w:val="2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CF6C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2DC3" w14:textId="77777777" w:rsidR="00663242" w:rsidRDefault="00663242" w:rsidP="00DF25DF">
            <w:pPr>
              <w:rPr>
                <w:szCs w:val="24"/>
              </w:rPr>
            </w:pPr>
            <w:r>
              <w:rPr>
                <w:iCs/>
              </w:rPr>
              <w:t xml:space="preserve">Határozatot hoz a közterületek használatáról és használatának rendjéről szóló, többször módosított 10/2013. (IV. 26.) </w:t>
            </w:r>
            <w:proofErr w:type="spellStart"/>
            <w:r>
              <w:rPr>
                <w:iCs/>
              </w:rPr>
              <w:t>Ök</w:t>
            </w:r>
            <w:proofErr w:type="spellEnd"/>
            <w:r>
              <w:rPr>
                <w:iCs/>
              </w:rPr>
              <w:t>. sz. rendelet 19. §-</w:t>
            </w:r>
            <w:proofErr w:type="spellStart"/>
            <w:r>
              <w:rPr>
                <w:iCs/>
              </w:rPr>
              <w:t>ában</w:t>
            </w:r>
            <w:proofErr w:type="spellEnd"/>
            <w:r>
              <w:rPr>
                <w:iCs/>
              </w:rPr>
              <w:t xml:space="preserve"> foglalt jogellenes közterület használat esetén a jogellenes közterület használóval szemben a jogellenesség megállapítása és megszüntetése érdekében lefolytatott hatósági eljárásban</w:t>
            </w:r>
          </w:p>
        </w:tc>
      </w:tr>
      <w:tr w:rsidR="00663242" w14:paraId="70624FBB" w14:textId="77777777" w:rsidTr="00DF25DF">
        <w:trPr>
          <w:trHeight w:val="2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BDAE" w14:textId="77777777" w:rsidR="00663242" w:rsidRDefault="00663242" w:rsidP="00663242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693E" w14:textId="77777777" w:rsidR="00663242" w:rsidRDefault="00663242" w:rsidP="00DF25DF">
            <w:pPr>
              <w:rPr>
                <w:szCs w:val="24"/>
              </w:rPr>
            </w:pPr>
            <w:r>
              <w:rPr>
                <w:iCs/>
              </w:rPr>
              <w:t>Dönt a településképi igazolás kiadása vagy annak megtagadása tekintetében</w:t>
            </w:r>
          </w:p>
        </w:tc>
      </w:tr>
    </w:tbl>
    <w:p w14:paraId="06999B78" w14:textId="77777777" w:rsidR="00663242" w:rsidRDefault="00663242" w:rsidP="00663242">
      <w:pPr>
        <w:pStyle w:val="lfej"/>
        <w:keepLines/>
        <w:tabs>
          <w:tab w:val="left" w:pos="708"/>
        </w:tabs>
        <w:rPr>
          <w:szCs w:val="24"/>
        </w:rPr>
      </w:pPr>
    </w:p>
    <w:p w14:paraId="4DEDF8AD" w14:textId="77777777" w:rsidR="00663242" w:rsidRDefault="00663242" w:rsidP="00663242">
      <w:pPr>
        <w:pStyle w:val="lfej"/>
        <w:keepLines/>
        <w:tabs>
          <w:tab w:val="left" w:pos="708"/>
        </w:tabs>
        <w:rPr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7796"/>
      </w:tblGrid>
      <w:tr w:rsidR="00663242" w14:paraId="1FE48AE2" w14:textId="77777777" w:rsidTr="00DF25DF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D386" w14:textId="77777777" w:rsidR="00663242" w:rsidRDefault="00663242" w:rsidP="00DF25D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II. Jegyzőre átruházott hatáskörök:</w:t>
            </w:r>
          </w:p>
        </w:tc>
      </w:tr>
      <w:tr w:rsidR="00663242" w14:paraId="2EBE9268" w14:textId="77777777" w:rsidTr="00DF25D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35B" w14:textId="77777777" w:rsidR="00663242" w:rsidRDefault="00663242" w:rsidP="00663242">
            <w:pPr>
              <w:numPr>
                <w:ilvl w:val="0"/>
                <w:numId w:val="3"/>
              </w:numPr>
              <w:jc w:val="center"/>
              <w:rPr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66D4" w14:textId="77777777" w:rsidR="00663242" w:rsidRDefault="00663242" w:rsidP="00DF25DF">
            <w:pPr>
              <w:rPr>
                <w:szCs w:val="24"/>
              </w:rPr>
            </w:pPr>
            <w:r>
              <w:rPr>
                <w:szCs w:val="24"/>
              </w:rPr>
              <w:t>Gondoskodik a házszámok megállapításáról és megváltoztatásáról.</w:t>
            </w:r>
          </w:p>
        </w:tc>
      </w:tr>
    </w:tbl>
    <w:p w14:paraId="0C39E82F" w14:textId="77777777" w:rsidR="006A52C8" w:rsidRDefault="006A52C8"/>
    <w:sectPr w:rsidR="006A5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43E9C"/>
    <w:multiLevelType w:val="hybridMultilevel"/>
    <w:tmpl w:val="47B07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6B52D3"/>
    <w:multiLevelType w:val="singleLevel"/>
    <w:tmpl w:val="9DEAB97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76880FC0"/>
    <w:multiLevelType w:val="hybridMultilevel"/>
    <w:tmpl w:val="2F0C6FAE"/>
    <w:lvl w:ilvl="0" w:tplc="7D5251E4">
      <w:start w:val="5"/>
      <w:numFmt w:val="lowerLetter"/>
      <w:lvlText w:val="%1)"/>
      <w:lvlJc w:val="left"/>
      <w:pPr>
        <w:tabs>
          <w:tab w:val="num" w:pos="715"/>
        </w:tabs>
        <w:ind w:left="71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42"/>
    <w:rsid w:val="00663242"/>
    <w:rsid w:val="006A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6A77"/>
  <w15:chartTrackingRefBased/>
  <w15:docId w15:val="{A531C564-D3E2-47ED-848A-830EADD9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32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663242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unhideWhenUsed/>
    <w:qFormat/>
    <w:rsid w:val="00663242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63242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663242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6632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6324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2021-03-16T10:12:00Z</dcterms:created>
  <dcterms:modified xsi:type="dcterms:W3CDTF">2021-03-16T10:12:00Z</dcterms:modified>
</cp:coreProperties>
</file>