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F58" w:rsidRPr="00722153" w:rsidRDefault="003B4F58" w:rsidP="003B4F58">
      <w:pPr>
        <w:jc w:val="right"/>
        <w:textAlignment w:val="top"/>
        <w:rPr>
          <w:rFonts w:ascii="Georgia" w:eastAsia="Times New Roman" w:hAnsi="Georgia" w:cs="Arial"/>
          <w:b/>
          <w:bCs/>
          <w:i/>
          <w:iCs/>
          <w:sz w:val="21"/>
          <w:szCs w:val="21"/>
          <w:lang w:eastAsia="hu-HU"/>
        </w:rPr>
      </w:pPr>
      <w:r>
        <w:rPr>
          <w:rFonts w:ascii="Georgia" w:eastAsia="Times New Roman" w:hAnsi="Georgia" w:cs="Arial"/>
          <w:b/>
          <w:bCs/>
          <w:i/>
          <w:iCs/>
          <w:sz w:val="21"/>
          <w:szCs w:val="21"/>
          <w:lang w:eastAsia="hu-HU"/>
        </w:rPr>
        <w:t>3</w:t>
      </w:r>
      <w:r w:rsidRPr="00722153">
        <w:rPr>
          <w:rFonts w:ascii="Georgia" w:eastAsia="Times New Roman" w:hAnsi="Georgia" w:cs="Arial"/>
          <w:b/>
          <w:bCs/>
          <w:i/>
          <w:iCs/>
          <w:sz w:val="21"/>
          <w:szCs w:val="21"/>
          <w:lang w:eastAsia="hu-HU"/>
        </w:rPr>
        <w:t xml:space="preserve">. melléklet a </w:t>
      </w:r>
      <w:r>
        <w:rPr>
          <w:rFonts w:ascii="Georgia" w:eastAsia="Times New Roman" w:hAnsi="Georgia" w:cs="Arial"/>
          <w:b/>
          <w:bCs/>
          <w:i/>
          <w:iCs/>
          <w:sz w:val="21"/>
          <w:szCs w:val="21"/>
          <w:lang w:eastAsia="hu-HU"/>
        </w:rPr>
        <w:t>17</w:t>
      </w:r>
      <w:r w:rsidRPr="00722153">
        <w:rPr>
          <w:rFonts w:ascii="Georgia" w:eastAsia="Times New Roman" w:hAnsi="Georgia" w:cs="Arial"/>
          <w:b/>
          <w:bCs/>
          <w:i/>
          <w:iCs/>
          <w:sz w:val="21"/>
          <w:szCs w:val="21"/>
          <w:lang w:eastAsia="hu-HU"/>
        </w:rPr>
        <w:t xml:space="preserve">/2017. (XII. </w:t>
      </w:r>
      <w:r>
        <w:rPr>
          <w:rFonts w:ascii="Georgia" w:eastAsia="Times New Roman" w:hAnsi="Georgia" w:cs="Arial"/>
          <w:b/>
          <w:bCs/>
          <w:i/>
          <w:iCs/>
          <w:sz w:val="21"/>
          <w:szCs w:val="21"/>
          <w:lang w:eastAsia="hu-HU"/>
        </w:rPr>
        <w:t>18.</w:t>
      </w:r>
      <w:proofErr w:type="gramStart"/>
      <w:r w:rsidRPr="00722153">
        <w:rPr>
          <w:rFonts w:ascii="Georgia" w:eastAsia="Times New Roman" w:hAnsi="Georgia" w:cs="Arial"/>
          <w:b/>
          <w:bCs/>
          <w:i/>
          <w:iCs/>
          <w:sz w:val="21"/>
          <w:szCs w:val="21"/>
          <w:lang w:eastAsia="hu-HU"/>
        </w:rPr>
        <w:t>)  önkormányzati</w:t>
      </w:r>
      <w:proofErr w:type="gramEnd"/>
      <w:r w:rsidRPr="00722153">
        <w:rPr>
          <w:rFonts w:ascii="Georgia" w:eastAsia="Times New Roman" w:hAnsi="Georgia" w:cs="Arial"/>
          <w:b/>
          <w:bCs/>
          <w:i/>
          <w:iCs/>
          <w:sz w:val="21"/>
          <w:szCs w:val="21"/>
          <w:lang w:eastAsia="hu-HU"/>
        </w:rPr>
        <w:t xml:space="preserve"> rendelethez</w:t>
      </w:r>
    </w:p>
    <w:p w:rsidR="003B4F58" w:rsidRPr="00722153" w:rsidRDefault="003B4F58" w:rsidP="003B4F58">
      <w:pPr>
        <w:jc w:val="right"/>
        <w:textAlignment w:val="top"/>
        <w:rPr>
          <w:rFonts w:ascii="Georgia" w:eastAsia="Times New Roman" w:hAnsi="Georgia" w:cs="Arial"/>
          <w:b/>
          <w:bCs/>
          <w:i/>
          <w:iCs/>
          <w:sz w:val="21"/>
          <w:szCs w:val="21"/>
          <w:vertAlign w:val="superscript"/>
          <w:lang w:eastAsia="hu-HU"/>
        </w:rPr>
      </w:pPr>
    </w:p>
    <w:tbl>
      <w:tblPr>
        <w:tblStyle w:val="Rcsostblzat"/>
        <w:tblW w:w="9227" w:type="dxa"/>
        <w:tblLook w:val="04A0" w:firstRow="1" w:lastRow="0" w:firstColumn="1" w:lastColumn="0" w:noHBand="0" w:noVBand="1"/>
      </w:tblPr>
      <w:tblGrid>
        <w:gridCol w:w="698"/>
        <w:gridCol w:w="6004"/>
        <w:gridCol w:w="1119"/>
        <w:gridCol w:w="1406"/>
      </w:tblGrid>
      <w:tr w:rsidR="003B4F58" w:rsidRPr="00722153" w:rsidTr="006609CE">
        <w:tc>
          <w:tcPr>
            <w:tcW w:w="698" w:type="dxa"/>
          </w:tcPr>
          <w:p w:rsidR="003B4F58" w:rsidRPr="00722153" w:rsidRDefault="003B4F58" w:rsidP="006609CE">
            <w:pPr>
              <w:jc w:val="center"/>
              <w:textAlignment w:val="top"/>
              <w:rPr>
                <w:rFonts w:ascii="Georgia" w:eastAsia="Times New Roman" w:hAnsi="Georgia" w:cs="Arial"/>
                <w:b/>
                <w:bCs/>
                <w:i/>
                <w:iCs/>
                <w:sz w:val="21"/>
                <w:szCs w:val="21"/>
                <w:vertAlign w:val="superscript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Ssz.</w:t>
            </w:r>
          </w:p>
        </w:tc>
        <w:tc>
          <w:tcPr>
            <w:tcW w:w="6004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b/>
                <w:bCs/>
                <w:i/>
                <w:iCs/>
                <w:sz w:val="21"/>
                <w:szCs w:val="21"/>
                <w:vertAlign w:val="superscript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Eltérő használat célja, jellege</w:t>
            </w:r>
          </w:p>
        </w:tc>
        <w:tc>
          <w:tcPr>
            <w:tcW w:w="1119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b/>
                <w:bCs/>
                <w:i/>
                <w:iCs/>
                <w:sz w:val="21"/>
                <w:szCs w:val="21"/>
                <w:vertAlign w:val="superscript"/>
                <w:lang w:eastAsia="hu-HU"/>
              </w:rPr>
            </w:pPr>
          </w:p>
        </w:tc>
        <w:tc>
          <w:tcPr>
            <w:tcW w:w="1406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b/>
                <w:bCs/>
                <w:i/>
                <w:iCs/>
                <w:sz w:val="21"/>
                <w:szCs w:val="21"/>
                <w:vertAlign w:val="superscript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Mérték-egysége</w:t>
            </w:r>
          </w:p>
        </w:tc>
      </w:tr>
      <w:tr w:rsidR="003B4F58" w:rsidRPr="00722153" w:rsidTr="006609CE">
        <w:tc>
          <w:tcPr>
            <w:tcW w:w="698" w:type="dxa"/>
          </w:tcPr>
          <w:p w:rsidR="003B4F58" w:rsidRPr="00722153" w:rsidRDefault="003B4F58" w:rsidP="006609CE">
            <w:pPr>
              <w:jc w:val="center"/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1.</w:t>
            </w:r>
          </w:p>
          <w:p w:rsidR="003B4F58" w:rsidRPr="00722153" w:rsidRDefault="003B4F58" w:rsidP="006609CE">
            <w:pPr>
              <w:jc w:val="center"/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</w:p>
        </w:tc>
        <w:tc>
          <w:tcPr>
            <w:tcW w:w="6004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 xml:space="preserve">Üzletben végzett kereskedelmi tevékenységhez </w:t>
            </w:r>
            <w:proofErr w:type="spellStart"/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igénybevett</w:t>
            </w:r>
            <w:proofErr w:type="spellEnd"/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 xml:space="preserve"> közterület használata</w:t>
            </w:r>
          </w:p>
        </w:tc>
        <w:tc>
          <w:tcPr>
            <w:tcW w:w="1119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b/>
                <w:bCs/>
                <w:i/>
                <w:iCs/>
                <w:sz w:val="21"/>
                <w:szCs w:val="21"/>
                <w:vertAlign w:val="superscript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1205</w:t>
            </w:r>
          </w:p>
        </w:tc>
        <w:tc>
          <w:tcPr>
            <w:tcW w:w="1406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Ft/m2/hó</w:t>
            </w:r>
          </w:p>
        </w:tc>
      </w:tr>
      <w:tr w:rsidR="003B4F58" w:rsidRPr="00722153" w:rsidTr="006609CE">
        <w:tc>
          <w:tcPr>
            <w:tcW w:w="698" w:type="dxa"/>
          </w:tcPr>
          <w:p w:rsidR="003B4F58" w:rsidRPr="00722153" w:rsidRDefault="003B4F58" w:rsidP="006609CE">
            <w:pPr>
              <w:jc w:val="center"/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2.</w:t>
            </w:r>
          </w:p>
          <w:p w:rsidR="003B4F58" w:rsidRPr="00722153" w:rsidRDefault="003B4F58" w:rsidP="006609CE">
            <w:pPr>
              <w:jc w:val="center"/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</w:p>
        </w:tc>
        <w:tc>
          <w:tcPr>
            <w:tcW w:w="6004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 xml:space="preserve">Üzlethez nem kötött kereskedelmi tevékenységhez, árubemutatóhoz és egyéb promóciós tevékenységhez </w:t>
            </w:r>
            <w:proofErr w:type="spellStart"/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igénybevett</w:t>
            </w:r>
            <w:proofErr w:type="spellEnd"/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 xml:space="preserve"> közterület használata (mozgóbolt kivételével)</w:t>
            </w:r>
          </w:p>
        </w:tc>
        <w:tc>
          <w:tcPr>
            <w:tcW w:w="1119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360</w:t>
            </w:r>
          </w:p>
        </w:tc>
        <w:tc>
          <w:tcPr>
            <w:tcW w:w="1406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Ft/m2/nap</w:t>
            </w:r>
          </w:p>
        </w:tc>
      </w:tr>
      <w:tr w:rsidR="003B4F58" w:rsidRPr="00722153" w:rsidTr="006609CE">
        <w:tc>
          <w:tcPr>
            <w:tcW w:w="698" w:type="dxa"/>
          </w:tcPr>
          <w:p w:rsidR="003B4F58" w:rsidRPr="00722153" w:rsidRDefault="003B4F58" w:rsidP="006609CE">
            <w:pPr>
              <w:jc w:val="center"/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6004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Mozgóbolttal folytatott kereskedelmi tevékenység</w:t>
            </w:r>
          </w:p>
        </w:tc>
        <w:tc>
          <w:tcPr>
            <w:tcW w:w="1119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5355</w:t>
            </w:r>
          </w:p>
        </w:tc>
        <w:tc>
          <w:tcPr>
            <w:tcW w:w="1406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Ft/jármű/hó</w:t>
            </w:r>
          </w:p>
        </w:tc>
      </w:tr>
      <w:tr w:rsidR="003B4F58" w:rsidRPr="00722153" w:rsidTr="006609CE">
        <w:tc>
          <w:tcPr>
            <w:tcW w:w="698" w:type="dxa"/>
          </w:tcPr>
          <w:p w:rsidR="003B4F58" w:rsidRPr="00722153" w:rsidRDefault="003B4F58" w:rsidP="006609CE">
            <w:pPr>
              <w:jc w:val="center"/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6004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Mutatványos tevékenység</w:t>
            </w:r>
          </w:p>
        </w:tc>
        <w:tc>
          <w:tcPr>
            <w:tcW w:w="1119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120</w:t>
            </w:r>
          </w:p>
        </w:tc>
        <w:tc>
          <w:tcPr>
            <w:tcW w:w="1406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Ft/m2/nap</w:t>
            </w:r>
          </w:p>
        </w:tc>
      </w:tr>
      <w:tr w:rsidR="003B4F58" w:rsidRPr="00722153" w:rsidTr="006609CE">
        <w:tc>
          <w:tcPr>
            <w:tcW w:w="698" w:type="dxa"/>
          </w:tcPr>
          <w:p w:rsidR="003B4F58" w:rsidRPr="00722153" w:rsidRDefault="003B4F58" w:rsidP="006609CE">
            <w:pPr>
              <w:jc w:val="center"/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6004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forgatási terület</w:t>
            </w:r>
          </w:p>
        </w:tc>
        <w:tc>
          <w:tcPr>
            <w:tcW w:w="1119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200</w:t>
            </w:r>
          </w:p>
        </w:tc>
        <w:tc>
          <w:tcPr>
            <w:tcW w:w="1406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Ft/m2/nap</w:t>
            </w:r>
          </w:p>
        </w:tc>
      </w:tr>
      <w:tr w:rsidR="003B4F58" w:rsidRPr="00722153" w:rsidTr="006609CE">
        <w:tc>
          <w:tcPr>
            <w:tcW w:w="698" w:type="dxa"/>
          </w:tcPr>
          <w:p w:rsidR="003B4F58" w:rsidRPr="00722153" w:rsidRDefault="003B4F58" w:rsidP="006609CE">
            <w:pPr>
              <w:jc w:val="center"/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6.</w:t>
            </w:r>
          </w:p>
        </w:tc>
        <w:tc>
          <w:tcPr>
            <w:tcW w:w="6004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forgatási terület töredéknapi díja</w:t>
            </w:r>
          </w:p>
        </w:tc>
        <w:tc>
          <w:tcPr>
            <w:tcW w:w="1119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100</w:t>
            </w:r>
          </w:p>
        </w:tc>
        <w:tc>
          <w:tcPr>
            <w:tcW w:w="1406" w:type="dxa"/>
          </w:tcPr>
          <w:p w:rsidR="003B4F58" w:rsidRPr="00722153" w:rsidRDefault="003B4F58" w:rsidP="006609CE"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Ft/m2/nap</w:t>
            </w:r>
          </w:p>
        </w:tc>
      </w:tr>
      <w:tr w:rsidR="003B4F58" w:rsidRPr="00722153" w:rsidTr="006609CE">
        <w:tc>
          <w:tcPr>
            <w:tcW w:w="698" w:type="dxa"/>
          </w:tcPr>
          <w:p w:rsidR="003B4F58" w:rsidRPr="00722153" w:rsidRDefault="003B4F58" w:rsidP="006609CE">
            <w:pPr>
              <w:jc w:val="center"/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7.</w:t>
            </w:r>
          </w:p>
        </w:tc>
        <w:tc>
          <w:tcPr>
            <w:tcW w:w="6004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 xml:space="preserve">technikai terület </w:t>
            </w:r>
          </w:p>
        </w:tc>
        <w:tc>
          <w:tcPr>
            <w:tcW w:w="1119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150</w:t>
            </w:r>
          </w:p>
        </w:tc>
        <w:tc>
          <w:tcPr>
            <w:tcW w:w="1406" w:type="dxa"/>
          </w:tcPr>
          <w:p w:rsidR="003B4F58" w:rsidRPr="00722153" w:rsidRDefault="003B4F58" w:rsidP="006609CE"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Ft/m2/nap</w:t>
            </w:r>
          </w:p>
        </w:tc>
      </w:tr>
      <w:tr w:rsidR="003B4F58" w:rsidRPr="00722153" w:rsidTr="006609CE">
        <w:tc>
          <w:tcPr>
            <w:tcW w:w="698" w:type="dxa"/>
          </w:tcPr>
          <w:p w:rsidR="003B4F58" w:rsidRPr="00722153" w:rsidRDefault="003B4F58" w:rsidP="006609CE">
            <w:pPr>
              <w:jc w:val="center"/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8.</w:t>
            </w:r>
          </w:p>
        </w:tc>
        <w:tc>
          <w:tcPr>
            <w:tcW w:w="6004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technikai terület töredéknapi díja</w:t>
            </w:r>
          </w:p>
        </w:tc>
        <w:tc>
          <w:tcPr>
            <w:tcW w:w="1119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75</w:t>
            </w:r>
          </w:p>
        </w:tc>
        <w:tc>
          <w:tcPr>
            <w:tcW w:w="1406" w:type="dxa"/>
          </w:tcPr>
          <w:p w:rsidR="003B4F58" w:rsidRPr="00722153" w:rsidRDefault="003B4F58" w:rsidP="006609CE"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Ft/m2/nap</w:t>
            </w:r>
          </w:p>
        </w:tc>
      </w:tr>
      <w:tr w:rsidR="003B4F58" w:rsidRPr="00722153" w:rsidTr="006609CE">
        <w:tc>
          <w:tcPr>
            <w:tcW w:w="698" w:type="dxa"/>
          </w:tcPr>
          <w:p w:rsidR="003B4F58" w:rsidRPr="00722153" w:rsidRDefault="003B4F58" w:rsidP="006609CE">
            <w:pPr>
              <w:jc w:val="center"/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9.</w:t>
            </w:r>
          </w:p>
        </w:tc>
        <w:tc>
          <w:tcPr>
            <w:tcW w:w="6004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Stáb parkolás</w:t>
            </w:r>
          </w:p>
        </w:tc>
        <w:tc>
          <w:tcPr>
            <w:tcW w:w="1119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100</w:t>
            </w:r>
          </w:p>
        </w:tc>
        <w:tc>
          <w:tcPr>
            <w:tcW w:w="1406" w:type="dxa"/>
          </w:tcPr>
          <w:p w:rsidR="003B4F58" w:rsidRPr="00722153" w:rsidRDefault="003B4F58" w:rsidP="006609CE"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Ft/m2/nap</w:t>
            </w:r>
          </w:p>
        </w:tc>
      </w:tr>
      <w:tr w:rsidR="003B4F58" w:rsidRPr="00722153" w:rsidTr="006609CE">
        <w:tc>
          <w:tcPr>
            <w:tcW w:w="698" w:type="dxa"/>
          </w:tcPr>
          <w:p w:rsidR="003B4F58" w:rsidRPr="00722153" w:rsidRDefault="003B4F58" w:rsidP="006609CE">
            <w:pPr>
              <w:jc w:val="center"/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10.</w:t>
            </w:r>
          </w:p>
        </w:tc>
        <w:tc>
          <w:tcPr>
            <w:tcW w:w="6004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Stáb parkolás töredéknapi díja</w:t>
            </w:r>
          </w:p>
        </w:tc>
        <w:tc>
          <w:tcPr>
            <w:tcW w:w="1119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50</w:t>
            </w:r>
          </w:p>
        </w:tc>
        <w:tc>
          <w:tcPr>
            <w:tcW w:w="1406" w:type="dxa"/>
          </w:tcPr>
          <w:p w:rsidR="003B4F58" w:rsidRPr="00722153" w:rsidRDefault="003B4F58" w:rsidP="006609CE"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Ft/m2/nap</w:t>
            </w:r>
          </w:p>
        </w:tc>
      </w:tr>
      <w:tr w:rsidR="003B4F58" w:rsidRPr="00722153" w:rsidTr="006609CE">
        <w:tc>
          <w:tcPr>
            <w:tcW w:w="698" w:type="dxa"/>
          </w:tcPr>
          <w:p w:rsidR="003B4F58" w:rsidRPr="00722153" w:rsidRDefault="003B4F58" w:rsidP="006609CE">
            <w:pPr>
              <w:jc w:val="center"/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11.</w:t>
            </w:r>
          </w:p>
        </w:tc>
        <w:tc>
          <w:tcPr>
            <w:tcW w:w="6004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kiürítési terület</w:t>
            </w:r>
          </w:p>
        </w:tc>
        <w:tc>
          <w:tcPr>
            <w:tcW w:w="1119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100</w:t>
            </w:r>
          </w:p>
        </w:tc>
        <w:tc>
          <w:tcPr>
            <w:tcW w:w="1406" w:type="dxa"/>
          </w:tcPr>
          <w:p w:rsidR="003B4F58" w:rsidRPr="00722153" w:rsidRDefault="003B4F58" w:rsidP="006609CE"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Ft/m2/nap</w:t>
            </w:r>
          </w:p>
        </w:tc>
      </w:tr>
      <w:tr w:rsidR="003B4F58" w:rsidRPr="00722153" w:rsidTr="006609CE">
        <w:tc>
          <w:tcPr>
            <w:tcW w:w="698" w:type="dxa"/>
          </w:tcPr>
          <w:p w:rsidR="003B4F58" w:rsidRPr="00722153" w:rsidRDefault="003B4F58" w:rsidP="006609CE">
            <w:pPr>
              <w:jc w:val="center"/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12.</w:t>
            </w:r>
          </w:p>
        </w:tc>
        <w:tc>
          <w:tcPr>
            <w:tcW w:w="6004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kiürítési terület töredéknapi díja</w:t>
            </w:r>
          </w:p>
        </w:tc>
        <w:tc>
          <w:tcPr>
            <w:tcW w:w="1119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50</w:t>
            </w:r>
          </w:p>
        </w:tc>
        <w:tc>
          <w:tcPr>
            <w:tcW w:w="1406" w:type="dxa"/>
          </w:tcPr>
          <w:p w:rsidR="003B4F58" w:rsidRPr="00722153" w:rsidRDefault="003B4F58" w:rsidP="006609CE"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Ft/m2/nap</w:t>
            </w:r>
          </w:p>
        </w:tc>
      </w:tr>
      <w:tr w:rsidR="003B4F58" w:rsidRPr="00722153" w:rsidTr="006609CE">
        <w:tc>
          <w:tcPr>
            <w:tcW w:w="698" w:type="dxa"/>
          </w:tcPr>
          <w:p w:rsidR="003B4F58" w:rsidRPr="00722153" w:rsidRDefault="003B4F58" w:rsidP="006609CE">
            <w:pPr>
              <w:jc w:val="center"/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13.</w:t>
            </w:r>
          </w:p>
        </w:tc>
        <w:tc>
          <w:tcPr>
            <w:tcW w:w="6004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forgalom-technikai biztonsági terület</w:t>
            </w:r>
          </w:p>
        </w:tc>
        <w:tc>
          <w:tcPr>
            <w:tcW w:w="1119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10</w:t>
            </w:r>
          </w:p>
        </w:tc>
        <w:tc>
          <w:tcPr>
            <w:tcW w:w="1406" w:type="dxa"/>
          </w:tcPr>
          <w:p w:rsidR="003B4F58" w:rsidRPr="00722153" w:rsidRDefault="003B4F58" w:rsidP="006609CE"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Ft/m2/nap</w:t>
            </w:r>
          </w:p>
        </w:tc>
      </w:tr>
      <w:tr w:rsidR="003B4F58" w:rsidRPr="00722153" w:rsidTr="006609CE">
        <w:tc>
          <w:tcPr>
            <w:tcW w:w="698" w:type="dxa"/>
          </w:tcPr>
          <w:p w:rsidR="003B4F58" w:rsidRPr="00722153" w:rsidRDefault="003B4F58" w:rsidP="006609CE">
            <w:pPr>
              <w:jc w:val="center"/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14.</w:t>
            </w:r>
          </w:p>
        </w:tc>
        <w:tc>
          <w:tcPr>
            <w:tcW w:w="6004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forgalom-technikai biztonsági terület töredéknapi díja</w:t>
            </w:r>
          </w:p>
        </w:tc>
        <w:tc>
          <w:tcPr>
            <w:tcW w:w="1119" w:type="dxa"/>
          </w:tcPr>
          <w:p w:rsidR="003B4F58" w:rsidRPr="00722153" w:rsidRDefault="003B4F58" w:rsidP="006609CE">
            <w:pPr>
              <w:textAlignment w:val="top"/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</w:pPr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5</w:t>
            </w:r>
          </w:p>
        </w:tc>
        <w:tc>
          <w:tcPr>
            <w:tcW w:w="1406" w:type="dxa"/>
          </w:tcPr>
          <w:p w:rsidR="003B4F58" w:rsidRPr="00722153" w:rsidRDefault="003B4F58" w:rsidP="006609CE">
            <w:r w:rsidRPr="00722153">
              <w:rPr>
                <w:rFonts w:ascii="Georgia" w:eastAsia="Times New Roman" w:hAnsi="Georgia" w:cs="Arial"/>
                <w:sz w:val="21"/>
                <w:szCs w:val="21"/>
                <w:lang w:eastAsia="hu-HU"/>
              </w:rPr>
              <w:t>Ft/m2/nap</w:t>
            </w:r>
          </w:p>
        </w:tc>
      </w:tr>
    </w:tbl>
    <w:p w:rsidR="003B4F58" w:rsidRPr="00722153" w:rsidRDefault="003B4F58" w:rsidP="003B4F58">
      <w:pPr>
        <w:textAlignment w:val="top"/>
        <w:rPr>
          <w:rFonts w:ascii="Georgia" w:eastAsia="Times New Roman" w:hAnsi="Georgia" w:cs="Arial"/>
          <w:i/>
          <w:iCs/>
          <w:sz w:val="21"/>
          <w:szCs w:val="21"/>
          <w:lang w:eastAsia="hu-HU"/>
        </w:rPr>
      </w:pPr>
    </w:p>
    <w:p w:rsidR="003B4F58" w:rsidRPr="00722153" w:rsidRDefault="003B4F58" w:rsidP="003B4F58">
      <w:pPr>
        <w:textAlignment w:val="top"/>
        <w:rPr>
          <w:rFonts w:ascii="Georgia" w:eastAsia="Times New Roman" w:hAnsi="Georgia" w:cs="Arial"/>
          <w:sz w:val="21"/>
          <w:szCs w:val="21"/>
          <w:lang w:eastAsia="hu-HU"/>
        </w:rPr>
      </w:pPr>
      <w:r w:rsidRPr="00722153">
        <w:rPr>
          <w:rFonts w:ascii="Georgia" w:eastAsia="Times New Roman" w:hAnsi="Georgia" w:cs="Arial"/>
          <w:i/>
          <w:iCs/>
          <w:sz w:val="21"/>
          <w:szCs w:val="21"/>
          <w:lang w:eastAsia="hu-HU"/>
        </w:rPr>
        <w:t>Az árak a mindenkori Áfa mértéket tartalmazzák.</w:t>
      </w:r>
    </w:p>
    <w:p w:rsidR="00EC1345" w:rsidRDefault="00EC1345">
      <w:bookmarkStart w:id="0" w:name="_GoBack"/>
      <w:bookmarkEnd w:id="0"/>
    </w:p>
    <w:sectPr w:rsidR="00EC1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58"/>
    <w:rsid w:val="003B4F58"/>
    <w:rsid w:val="00C154F3"/>
    <w:rsid w:val="00EC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CE785-AA0E-47F0-8A25-FCBB62A8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B4F5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3B4F5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899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2019-12-16T13:07:00Z</dcterms:created>
  <dcterms:modified xsi:type="dcterms:W3CDTF">2019-12-16T13:08:00Z</dcterms:modified>
</cp:coreProperties>
</file>