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9B" w:rsidRPr="00E2364A" w:rsidRDefault="0016449B" w:rsidP="0016449B">
      <w:pPr>
        <w:spacing w:after="0"/>
        <w:jc w:val="right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3. sz. függelék</w:t>
      </w:r>
      <w:r>
        <w:rPr>
          <w:rFonts w:ascii="Times New Roman" w:hAnsi="Times New Roman" w:cs="Times New Roman"/>
        </w:rPr>
        <w:t xml:space="preserve"> </w:t>
      </w:r>
      <w:r w:rsidRPr="00E2364A">
        <w:rPr>
          <w:rFonts w:ascii="Times New Roman" w:hAnsi="Times New Roman"/>
          <w:sz w:val="24"/>
          <w:szCs w:val="24"/>
          <w:lang w:eastAsia="hu-HU"/>
        </w:rPr>
        <w:t xml:space="preserve">a településkép védelméről szóló </w:t>
      </w:r>
      <w:r>
        <w:rPr>
          <w:rFonts w:ascii="Times New Roman" w:hAnsi="Times New Roman"/>
          <w:sz w:val="24"/>
          <w:szCs w:val="24"/>
          <w:lang w:eastAsia="hu-HU"/>
        </w:rPr>
        <w:t>2</w:t>
      </w:r>
      <w:r w:rsidRPr="00E2364A">
        <w:rPr>
          <w:rFonts w:ascii="Times New Roman" w:hAnsi="Times New Roman"/>
          <w:sz w:val="24"/>
          <w:szCs w:val="24"/>
          <w:lang w:eastAsia="hu-HU"/>
        </w:rPr>
        <w:t>/2018</w:t>
      </w:r>
      <w:r>
        <w:rPr>
          <w:rFonts w:ascii="Times New Roman" w:hAnsi="Times New Roman"/>
          <w:sz w:val="24"/>
          <w:szCs w:val="24"/>
          <w:lang w:eastAsia="hu-HU"/>
        </w:rPr>
        <w:t>. (III. 30.)</w:t>
      </w:r>
      <w:r w:rsidRPr="00E2364A">
        <w:rPr>
          <w:rFonts w:ascii="Times New Roman" w:hAnsi="Times New Roman"/>
          <w:sz w:val="24"/>
          <w:szCs w:val="24"/>
          <w:lang w:eastAsia="hu-HU"/>
        </w:rPr>
        <w:t xml:space="preserve"> önkormányzati rendelethez</w:t>
      </w:r>
    </w:p>
    <w:p w:rsidR="0016449B" w:rsidRPr="00E2364A" w:rsidRDefault="0016449B" w:rsidP="0016449B">
      <w:pPr>
        <w:spacing w:after="0"/>
        <w:contextualSpacing/>
        <w:rPr>
          <w:rFonts w:ascii="Times New Roman" w:hAnsi="Times New Roman" w:cs="Times New Roman"/>
        </w:rPr>
      </w:pPr>
    </w:p>
    <w:p w:rsidR="0016449B" w:rsidRPr="00E2364A" w:rsidRDefault="0016449B" w:rsidP="0016449B">
      <w:pPr>
        <w:spacing w:after="0"/>
        <w:contextualSpacing/>
        <w:rPr>
          <w:rFonts w:ascii="Times New Roman" w:hAnsi="Times New Roman" w:cs="Times New Roman"/>
        </w:rPr>
      </w:pPr>
    </w:p>
    <w:p w:rsidR="0016449B" w:rsidRPr="00E2364A" w:rsidRDefault="0016449B" w:rsidP="0016449B">
      <w:pPr>
        <w:spacing w:after="0"/>
        <w:contextualSpacing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Településképi véleményezési eljárás lefolytatását igénylő esetek:</w:t>
      </w:r>
    </w:p>
    <w:p w:rsidR="0016449B" w:rsidRPr="00E2364A" w:rsidRDefault="0016449B" w:rsidP="0016449B">
      <w:pPr>
        <w:spacing w:after="0"/>
        <w:contextualSpacing/>
        <w:rPr>
          <w:rFonts w:ascii="Times New Roman" w:hAnsi="Times New Roman" w:cs="Times New Roman"/>
        </w:rPr>
      </w:pPr>
    </w:p>
    <w:p w:rsidR="0016449B" w:rsidRPr="00E2364A" w:rsidRDefault="0016449B" w:rsidP="0016449B">
      <w:pPr>
        <w:spacing w:after="0"/>
        <w:contextualSpacing/>
        <w:rPr>
          <w:rFonts w:ascii="Times New Roman" w:hAnsi="Times New Roman" w:cs="Times New Roman"/>
        </w:rPr>
      </w:pPr>
    </w:p>
    <w:p w:rsidR="0016449B" w:rsidRPr="00E2364A" w:rsidRDefault="0016449B" w:rsidP="0016449B">
      <w:pPr>
        <w:spacing w:after="0"/>
        <w:contextualSpacing/>
        <w:jc w:val="both"/>
        <w:rPr>
          <w:rFonts w:ascii="Times New Roman" w:hAnsi="Times New Roman" w:cs="Times New Roman"/>
        </w:rPr>
      </w:pPr>
      <w:r w:rsidRPr="00E2364A">
        <w:rPr>
          <w:rFonts w:ascii="Times New Roman" w:hAnsi="Times New Roman" w:cs="Times New Roman"/>
        </w:rPr>
        <w:t>Valamennyi, az építésügyi és építésfelügyeleti hatósági eljárásokról és ellenőrzésekről, valamint az építésügyi hatósági szolgáltatásról szóló kormányrendeletben meghatározott engedélyezési eljárást megelőzően, ha magasabb rendű jogszabály az adott ügyben a polgármester hatáskörét nem korlátozza más szakmai szervezet igénybevételi kötelezettsége miatt.</w:t>
      </w:r>
    </w:p>
    <w:p w:rsidR="0016449B" w:rsidRPr="00E2364A" w:rsidRDefault="0016449B" w:rsidP="0016449B">
      <w:pPr>
        <w:spacing w:after="0"/>
        <w:contextualSpacing/>
        <w:rPr>
          <w:rFonts w:ascii="Times New Roman" w:hAnsi="Times New Roman" w:cs="Times New Roman"/>
        </w:rPr>
      </w:pPr>
    </w:p>
    <w:p w:rsidR="0034318E" w:rsidRDefault="0034318E">
      <w:bookmarkStart w:id="0" w:name="_GoBack"/>
      <w:bookmarkEnd w:id="0"/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9B"/>
    <w:rsid w:val="0016449B"/>
    <w:rsid w:val="0034318E"/>
    <w:rsid w:val="00C96B57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49B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49B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2018-04-03T11:48:00Z</dcterms:created>
  <dcterms:modified xsi:type="dcterms:W3CDTF">2018-04-03T11:48:00Z</dcterms:modified>
</cp:coreProperties>
</file>