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6F4" w:rsidRPr="00247037" w:rsidRDefault="00BF06F4" w:rsidP="00BF06F4">
      <w:pPr>
        <w:jc w:val="right"/>
        <w:rPr>
          <w:rFonts w:ascii="Verdana" w:hAnsi="Verdana" w:cs="Arial"/>
          <w:color w:val="FF0000"/>
          <w:sz w:val="19"/>
          <w:szCs w:val="19"/>
        </w:rPr>
      </w:pPr>
    </w:p>
    <w:p w:rsidR="00BF06F4" w:rsidRPr="00E744E6" w:rsidRDefault="00BF06F4" w:rsidP="00BF06F4">
      <w:pPr>
        <w:jc w:val="right"/>
        <w:rPr>
          <w:rFonts w:ascii="Verdana" w:hAnsi="Verdana" w:cs="Arial"/>
          <w:sz w:val="19"/>
          <w:szCs w:val="19"/>
        </w:rPr>
      </w:pPr>
      <w:r w:rsidRPr="00E744E6">
        <w:rPr>
          <w:rFonts w:ascii="Verdana" w:hAnsi="Verdana" w:cs="Arial"/>
          <w:sz w:val="19"/>
          <w:szCs w:val="19"/>
        </w:rPr>
        <w:t xml:space="preserve">1. melléklet a </w:t>
      </w:r>
      <w:r>
        <w:rPr>
          <w:rFonts w:ascii="Verdana" w:hAnsi="Verdana" w:cs="Arial"/>
          <w:sz w:val="19"/>
          <w:szCs w:val="19"/>
        </w:rPr>
        <w:t>11</w:t>
      </w:r>
      <w:r w:rsidRPr="00E744E6">
        <w:rPr>
          <w:rFonts w:ascii="Verdana" w:hAnsi="Verdana" w:cs="Arial"/>
          <w:sz w:val="19"/>
          <w:szCs w:val="19"/>
        </w:rPr>
        <w:t>/2019.(</w:t>
      </w:r>
      <w:r>
        <w:rPr>
          <w:rFonts w:ascii="Verdana" w:hAnsi="Verdana" w:cs="Arial"/>
          <w:sz w:val="19"/>
          <w:szCs w:val="19"/>
        </w:rPr>
        <w:t>X.09.</w:t>
      </w:r>
      <w:r w:rsidRPr="00E744E6">
        <w:rPr>
          <w:rFonts w:ascii="Verdana" w:hAnsi="Verdana" w:cs="Arial"/>
          <w:sz w:val="19"/>
          <w:szCs w:val="19"/>
        </w:rPr>
        <w:t>) önkormányzati rendelethez</w:t>
      </w:r>
    </w:p>
    <w:p w:rsidR="00BF06F4" w:rsidRPr="00E744E6" w:rsidRDefault="00BF06F4" w:rsidP="00BF06F4">
      <w:pPr>
        <w:pStyle w:val="Listaszerbekezds"/>
        <w:autoSpaceDE w:val="0"/>
        <w:autoSpaceDN w:val="0"/>
        <w:adjustRightInd w:val="0"/>
        <w:spacing w:after="0" w:line="240" w:lineRule="auto"/>
        <w:jc w:val="center"/>
        <w:rPr>
          <w:rFonts w:ascii="Verdana" w:hAnsi="Verdana" w:cs="Arial"/>
          <w:sz w:val="19"/>
          <w:szCs w:val="19"/>
        </w:rPr>
      </w:pPr>
      <w:r w:rsidRPr="00E744E6">
        <w:rPr>
          <w:rFonts w:ascii="Verdana" w:hAnsi="Verdana" w:cs="Arial"/>
          <w:sz w:val="19"/>
          <w:szCs w:val="19"/>
        </w:rPr>
        <w:t xml:space="preserve"> </w:t>
      </w:r>
    </w:p>
    <w:p w:rsidR="00BF06F4" w:rsidRDefault="00BF06F4" w:rsidP="00BF06F4">
      <w:pPr>
        <w:autoSpaceDE w:val="0"/>
        <w:autoSpaceDN w:val="0"/>
        <w:adjustRightInd w:val="0"/>
        <w:spacing w:after="0" w:line="240" w:lineRule="auto"/>
        <w:jc w:val="center"/>
        <w:rPr>
          <w:rFonts w:ascii="Verdana" w:hAnsi="Verdana" w:cs="Arial"/>
          <w:b/>
          <w:sz w:val="19"/>
          <w:szCs w:val="19"/>
        </w:rPr>
      </w:pPr>
      <w:r w:rsidRPr="00E744E6">
        <w:rPr>
          <w:rFonts w:ascii="Verdana" w:hAnsi="Verdana" w:cs="Arial"/>
          <w:b/>
          <w:sz w:val="19"/>
          <w:szCs w:val="19"/>
        </w:rPr>
        <w:t>A település helyi védelem alatt álló építészeti, táji- és természeti értékeinek jegyzéke, a védelem jellegének meghatározása</w:t>
      </w:r>
    </w:p>
    <w:p w:rsidR="00BF06F4" w:rsidRPr="00E744E6" w:rsidRDefault="00BF06F4" w:rsidP="00BF06F4">
      <w:pPr>
        <w:autoSpaceDE w:val="0"/>
        <w:autoSpaceDN w:val="0"/>
        <w:adjustRightInd w:val="0"/>
        <w:spacing w:after="0" w:line="240" w:lineRule="auto"/>
        <w:jc w:val="center"/>
        <w:rPr>
          <w:rFonts w:ascii="Verdana" w:hAnsi="Verdana" w:cs="Arial"/>
          <w:b/>
          <w:sz w:val="19"/>
          <w:szCs w:val="19"/>
        </w:rPr>
      </w:pPr>
    </w:p>
    <w:p w:rsidR="00BF06F4" w:rsidRPr="00E744E6" w:rsidRDefault="00BF06F4" w:rsidP="00BF06F4">
      <w:pPr>
        <w:autoSpaceDE w:val="0"/>
        <w:autoSpaceDN w:val="0"/>
        <w:adjustRightInd w:val="0"/>
        <w:spacing w:after="0" w:line="240" w:lineRule="auto"/>
        <w:jc w:val="both"/>
        <w:rPr>
          <w:rFonts w:ascii="Verdana" w:hAnsi="Verdana" w:cs="Arial"/>
          <w:sz w:val="19"/>
          <w:szCs w:val="19"/>
        </w:rPr>
      </w:pPr>
    </w:p>
    <w:p w:rsidR="00BF06F4" w:rsidRPr="00856292" w:rsidRDefault="00BF06F4" w:rsidP="00BF06F4">
      <w:pPr>
        <w:pStyle w:val="Listaszerbekezds"/>
        <w:numPr>
          <w:ilvl w:val="0"/>
          <w:numId w:val="1"/>
        </w:numPr>
        <w:autoSpaceDE w:val="0"/>
        <w:autoSpaceDN w:val="0"/>
        <w:adjustRightInd w:val="0"/>
        <w:spacing w:after="0" w:line="240" w:lineRule="auto"/>
        <w:jc w:val="center"/>
        <w:rPr>
          <w:rFonts w:ascii="Verdana" w:hAnsi="Verdana" w:cs="Arial"/>
          <w:b/>
          <w:sz w:val="19"/>
          <w:szCs w:val="19"/>
        </w:rPr>
      </w:pPr>
      <w:r w:rsidRPr="00856292">
        <w:rPr>
          <w:rFonts w:ascii="Verdana" w:hAnsi="Verdana" w:cs="Arial"/>
          <w:b/>
          <w:sz w:val="19"/>
          <w:szCs w:val="19"/>
        </w:rPr>
        <w:t>Helyi egyedi védelem alatt álló építészeti értékek</w:t>
      </w:r>
    </w:p>
    <w:p w:rsidR="00BF06F4" w:rsidRPr="00856292" w:rsidRDefault="00BF06F4" w:rsidP="00BF06F4">
      <w:pPr>
        <w:autoSpaceDE w:val="0"/>
        <w:autoSpaceDN w:val="0"/>
        <w:adjustRightInd w:val="0"/>
        <w:spacing w:after="0" w:line="240" w:lineRule="auto"/>
        <w:ind w:left="360"/>
        <w:jc w:val="center"/>
        <w:rPr>
          <w:rFonts w:ascii="Verdana" w:hAnsi="Verdana" w:cs="Arial"/>
          <w:b/>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Magtár a majorban</w:t>
      </w:r>
      <w:r w:rsidRPr="003E2D3C">
        <w:rPr>
          <w:rFonts w:ascii="Verdana" w:hAnsi="Verdana" w:cs="Arial"/>
          <w:sz w:val="19"/>
          <w:szCs w:val="19"/>
        </w:rPr>
        <w:t xml:space="preserve">; hrsz.: 503/3 </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 xml:space="preserve">Részleges védelemben részesül az épület, így védett annak hagyományos építészeti tömege, eredeti anyaghasználata, eredeti tető formája. Meg kell őrizni, vagy az eredeti megsemmisülése esetén rekonstruálva kell felújítani a homlokzatot, annak felületképzését, a homlokzat nyílásrendjét és a tető </w:t>
      </w:r>
      <w:proofErr w:type="spellStart"/>
      <w:r w:rsidRPr="003E2D3C">
        <w:rPr>
          <w:rFonts w:ascii="Verdana" w:hAnsi="Verdana" w:cs="Arial"/>
          <w:sz w:val="19"/>
          <w:szCs w:val="19"/>
        </w:rPr>
        <w:t>héjalását</w:t>
      </w:r>
      <w:proofErr w:type="spellEnd"/>
      <w:r w:rsidRPr="003E2D3C">
        <w:rPr>
          <w:rFonts w:ascii="Verdana" w:hAnsi="Verdana" w:cs="Arial"/>
          <w:sz w:val="19"/>
          <w:szCs w:val="19"/>
        </w:rPr>
        <w:t xml:space="preserve">. </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Az épület bővítése csak az eredeti épület jellegének, tömeg-karakterének, arányainak meg-tartása mellett lehetséges.</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Pr>
          <w:rFonts w:ascii="Verdana" w:hAnsi="Verdana" w:cs="Arial"/>
          <w:b/>
          <w:sz w:val="19"/>
          <w:szCs w:val="19"/>
        </w:rPr>
        <w:t xml:space="preserve">2 </w:t>
      </w:r>
      <w:r w:rsidRPr="003E2D3C">
        <w:rPr>
          <w:rFonts w:ascii="Verdana" w:hAnsi="Verdana" w:cs="Arial"/>
          <w:b/>
          <w:sz w:val="19"/>
          <w:szCs w:val="19"/>
        </w:rPr>
        <w:t xml:space="preserve">kőkereszt a </w:t>
      </w:r>
      <w:proofErr w:type="spellStart"/>
      <w:r w:rsidRPr="003E2D3C">
        <w:rPr>
          <w:rFonts w:ascii="Verdana" w:hAnsi="Verdana" w:cs="Arial"/>
          <w:b/>
          <w:sz w:val="19"/>
          <w:szCs w:val="19"/>
        </w:rPr>
        <w:t>kustányi</w:t>
      </w:r>
      <w:proofErr w:type="spellEnd"/>
      <w:r w:rsidRPr="003E2D3C">
        <w:rPr>
          <w:rFonts w:ascii="Verdana" w:hAnsi="Verdana" w:cs="Arial"/>
          <w:b/>
          <w:sz w:val="19"/>
          <w:szCs w:val="19"/>
        </w:rPr>
        <w:t xml:space="preserve"> temetőben</w:t>
      </w:r>
      <w:r w:rsidRPr="003E2D3C">
        <w:rPr>
          <w:rFonts w:ascii="Verdana" w:hAnsi="Verdana" w:cs="Arial"/>
          <w:sz w:val="19"/>
          <w:szCs w:val="19"/>
        </w:rPr>
        <w:t>; hrsz.: 0302/2</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Kőkereszt a Papus-hegyen</w:t>
      </w:r>
      <w:r w:rsidRPr="003E2D3C">
        <w:rPr>
          <w:rFonts w:ascii="Verdana" w:hAnsi="Verdana" w:cs="Arial"/>
          <w:sz w:val="19"/>
          <w:szCs w:val="19"/>
        </w:rPr>
        <w:t>; hrsz.: 2811</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I. és II. világháborús emlékmű</w:t>
      </w:r>
      <w:r w:rsidRPr="003E2D3C">
        <w:rPr>
          <w:rFonts w:ascii="Verdana" w:hAnsi="Verdana" w:cs="Arial"/>
          <w:sz w:val="19"/>
          <w:szCs w:val="19"/>
        </w:rPr>
        <w:t xml:space="preserve"> a Hunyadi és Malom utcák sarkán; hrsz.: 594</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 xml:space="preserve">Deák család sírboltja a régi </w:t>
      </w:r>
      <w:proofErr w:type="spellStart"/>
      <w:r w:rsidRPr="003E2D3C">
        <w:rPr>
          <w:rFonts w:ascii="Verdana" w:hAnsi="Verdana" w:cs="Arial"/>
          <w:b/>
          <w:sz w:val="19"/>
          <w:szCs w:val="19"/>
        </w:rPr>
        <w:t>kustányi</w:t>
      </w:r>
      <w:proofErr w:type="spellEnd"/>
      <w:r w:rsidRPr="003E2D3C">
        <w:rPr>
          <w:rFonts w:ascii="Verdana" w:hAnsi="Verdana" w:cs="Arial"/>
          <w:b/>
          <w:sz w:val="19"/>
          <w:szCs w:val="19"/>
        </w:rPr>
        <w:t xml:space="preserve"> temetőben</w:t>
      </w:r>
      <w:r w:rsidRPr="003E2D3C">
        <w:rPr>
          <w:rFonts w:ascii="Verdana" w:hAnsi="Verdana" w:cs="Arial"/>
          <w:sz w:val="19"/>
          <w:szCs w:val="19"/>
        </w:rPr>
        <w:t>; hrsz.: 697</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 xml:space="preserve">Teljes védelemben részesül az építmény, így védett annak hagyományos építészeti tömege, eredeti anyaghasználata, eredeti tető formája. Meg kell őrizni, vagy az eredeti megsemmisülése esetén rekonstruálva kell felújítani a homlokzatot, annak felületképzését, a homlokzati díszeket, a tető </w:t>
      </w:r>
      <w:proofErr w:type="spellStart"/>
      <w:r w:rsidRPr="003E2D3C">
        <w:rPr>
          <w:rFonts w:ascii="Verdana" w:hAnsi="Verdana" w:cs="Arial"/>
          <w:sz w:val="19"/>
          <w:szCs w:val="19"/>
        </w:rPr>
        <w:t>héjalását</w:t>
      </w:r>
      <w:proofErr w:type="spellEnd"/>
      <w:r w:rsidRPr="003E2D3C">
        <w:rPr>
          <w:rFonts w:ascii="Verdana" w:hAnsi="Verdana" w:cs="Arial"/>
          <w:sz w:val="19"/>
          <w:szCs w:val="19"/>
        </w:rPr>
        <w:t xml:space="preserve"> és a belső teret.</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Az építményt - annak külső és belső tereit - az építészeti kornak megfelelően, illetve a fellelhető korabeli fényképek alapján rekonstruálni kell.</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 xml:space="preserve">Kőkereszt a régi </w:t>
      </w:r>
      <w:proofErr w:type="spellStart"/>
      <w:r w:rsidRPr="003E2D3C">
        <w:rPr>
          <w:rFonts w:ascii="Verdana" w:hAnsi="Verdana" w:cs="Arial"/>
          <w:b/>
          <w:sz w:val="19"/>
          <w:szCs w:val="19"/>
        </w:rPr>
        <w:t>kustányi</w:t>
      </w:r>
      <w:proofErr w:type="spellEnd"/>
      <w:r w:rsidRPr="003E2D3C">
        <w:rPr>
          <w:rFonts w:ascii="Verdana" w:hAnsi="Verdana" w:cs="Arial"/>
          <w:b/>
          <w:sz w:val="19"/>
          <w:szCs w:val="19"/>
        </w:rPr>
        <w:t xml:space="preserve"> temetőben</w:t>
      </w:r>
      <w:r w:rsidRPr="003E2D3C">
        <w:rPr>
          <w:rFonts w:ascii="Verdana" w:hAnsi="Verdana" w:cs="Arial"/>
          <w:sz w:val="19"/>
          <w:szCs w:val="19"/>
        </w:rPr>
        <w:t>; hrsz.: 697</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Pr>
          <w:rFonts w:ascii="Verdana" w:hAnsi="Verdana" w:cs="Arial"/>
          <w:b/>
          <w:sz w:val="19"/>
          <w:szCs w:val="19"/>
        </w:rPr>
        <w:t>M</w:t>
      </w:r>
      <w:r w:rsidRPr="003E2D3C">
        <w:rPr>
          <w:rFonts w:ascii="Verdana" w:hAnsi="Verdana" w:cs="Arial"/>
          <w:b/>
          <w:sz w:val="19"/>
          <w:szCs w:val="19"/>
        </w:rPr>
        <w:t>alomépület</w:t>
      </w:r>
      <w:r w:rsidRPr="003E2D3C">
        <w:rPr>
          <w:rFonts w:ascii="Verdana" w:hAnsi="Verdana" w:cs="Arial"/>
          <w:sz w:val="19"/>
          <w:szCs w:val="19"/>
        </w:rPr>
        <w:t>; hrsz.: 0170/1</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Felújított malomépület, mely építészeti jellegét a felújítást követően is megtartotta.</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Részleges védelemben részesül az épület, így védett annak hagyományos építészeti tömege, eredeti anyaghasználata, eredeti tető formája. Meg kell őrizni, vagy az eredeti megsemmisülése esetén rekonstruálva kell felújítani a homlokzatot, annak felületkép-</w:t>
      </w:r>
      <w:proofErr w:type="spellStart"/>
      <w:r w:rsidRPr="003E2D3C">
        <w:rPr>
          <w:rFonts w:ascii="Verdana" w:hAnsi="Verdana" w:cs="Arial"/>
          <w:sz w:val="19"/>
          <w:szCs w:val="19"/>
        </w:rPr>
        <w:t>zését</w:t>
      </w:r>
      <w:proofErr w:type="spellEnd"/>
      <w:r w:rsidRPr="003E2D3C">
        <w:rPr>
          <w:rFonts w:ascii="Verdana" w:hAnsi="Verdana" w:cs="Arial"/>
          <w:sz w:val="19"/>
          <w:szCs w:val="19"/>
        </w:rPr>
        <w:t xml:space="preserve">, a homlokzati díszeket, a homlokzat nyílásrendjét és a tető </w:t>
      </w:r>
      <w:proofErr w:type="spellStart"/>
      <w:r w:rsidRPr="003E2D3C">
        <w:rPr>
          <w:rFonts w:ascii="Verdana" w:hAnsi="Verdana" w:cs="Arial"/>
          <w:sz w:val="19"/>
          <w:szCs w:val="19"/>
        </w:rPr>
        <w:t>héjalását</w:t>
      </w:r>
      <w:proofErr w:type="spellEnd"/>
      <w:r w:rsidRPr="003E2D3C">
        <w:rPr>
          <w:rFonts w:ascii="Verdana" w:hAnsi="Verdana" w:cs="Arial"/>
          <w:sz w:val="19"/>
          <w:szCs w:val="19"/>
        </w:rPr>
        <w:t xml:space="preserve">. </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Az épület bővítése csak az eredeti épület jellegének, tömeg-karakterének, arányainak meg-tartása mellett lehetséges.</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Kőkereszt a Deák Ferenc utca 41. szám előtt</w:t>
      </w:r>
      <w:r w:rsidRPr="003E2D3C">
        <w:rPr>
          <w:rFonts w:ascii="Verdana" w:hAnsi="Verdana" w:cs="Arial"/>
          <w:sz w:val="19"/>
          <w:szCs w:val="19"/>
        </w:rPr>
        <w:t>; hrsz.: 141</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Kőkereszt a Deák Ferenc utca 29. szám előtt</w:t>
      </w:r>
      <w:r w:rsidRPr="003E2D3C">
        <w:rPr>
          <w:rFonts w:ascii="Verdana" w:hAnsi="Verdana" w:cs="Arial"/>
          <w:sz w:val="19"/>
          <w:szCs w:val="19"/>
        </w:rPr>
        <w:t>; hrsz.: 141</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Egykori mezőgazdasági szakiskola</w:t>
      </w:r>
      <w:r>
        <w:rPr>
          <w:rFonts w:ascii="Verdana" w:hAnsi="Verdana" w:cs="Arial"/>
          <w:sz w:val="19"/>
          <w:szCs w:val="19"/>
        </w:rPr>
        <w:t xml:space="preserve">; </w:t>
      </w:r>
      <w:r w:rsidRPr="003E2D3C">
        <w:rPr>
          <w:rFonts w:ascii="Verdana" w:hAnsi="Verdana" w:cs="Arial"/>
          <w:sz w:val="19"/>
          <w:szCs w:val="19"/>
        </w:rPr>
        <w:t>hrsz.: 88/3</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 xml:space="preserve">Részleges védelemben részesül az épület, így védett annak hagyományos építészeti tömege, eredeti anyaghasználata, eredeti tető formája. Meg kell őrizni, vagy az eredeti megsemmisülése esetén rekonstruálva kell felújítani a homlokzatot, annak felületképzését, a homlokzati díszeket, a homlokzat nyílásrendjét és a tető </w:t>
      </w:r>
      <w:proofErr w:type="spellStart"/>
      <w:r w:rsidRPr="003E2D3C">
        <w:rPr>
          <w:rFonts w:ascii="Verdana" w:hAnsi="Verdana" w:cs="Arial"/>
          <w:sz w:val="19"/>
          <w:szCs w:val="19"/>
        </w:rPr>
        <w:t>héjalását</w:t>
      </w:r>
      <w:proofErr w:type="spellEnd"/>
      <w:r w:rsidRPr="003E2D3C">
        <w:rPr>
          <w:rFonts w:ascii="Verdana" w:hAnsi="Verdana" w:cs="Arial"/>
          <w:sz w:val="19"/>
          <w:szCs w:val="19"/>
        </w:rPr>
        <w:t>. Az épület bővítése csak az eredeti épület jellegének, tömegkarakterének, arányainak megtartása mellett lehetséges.</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p>
    <w:p w:rsidR="00BF06F4" w:rsidRDefault="00BF06F4" w:rsidP="00BF06F4">
      <w:pPr>
        <w:pStyle w:val="WW-Szvegtrzs2"/>
        <w:autoSpaceDE w:val="0"/>
        <w:rPr>
          <w:rFonts w:ascii="Verdana" w:hAnsi="Verdana" w:cs="Arial"/>
          <w:b/>
          <w:sz w:val="19"/>
          <w:szCs w:val="19"/>
        </w:rPr>
      </w:pPr>
    </w:p>
    <w:p w:rsidR="00BF06F4" w:rsidRPr="003E2D3C" w:rsidRDefault="00BF06F4" w:rsidP="00BF06F4">
      <w:pPr>
        <w:pStyle w:val="WW-Szvegtrzs2"/>
        <w:autoSpaceDE w:val="0"/>
        <w:rPr>
          <w:rFonts w:ascii="Verdana" w:hAnsi="Verdana" w:cs="Arial"/>
          <w:sz w:val="19"/>
          <w:szCs w:val="19"/>
        </w:rPr>
      </w:pPr>
      <w:bookmarkStart w:id="0" w:name="_GoBack"/>
      <w:bookmarkEnd w:id="0"/>
      <w:r w:rsidRPr="003E2D3C">
        <w:rPr>
          <w:rFonts w:ascii="Verdana" w:hAnsi="Verdana" w:cs="Arial"/>
          <w:b/>
          <w:sz w:val="19"/>
          <w:szCs w:val="19"/>
        </w:rPr>
        <w:lastRenderedPageBreak/>
        <w:t>Villaépület a Kúria utca 4. szám alatt</w:t>
      </w:r>
      <w:r w:rsidRPr="003E2D3C">
        <w:rPr>
          <w:rFonts w:ascii="Verdana" w:hAnsi="Verdana" w:cs="Arial"/>
          <w:sz w:val="19"/>
          <w:szCs w:val="19"/>
        </w:rPr>
        <w:t>; hrsz.: 90</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 xml:space="preserve">Részleges védelemben részesül az épület, így védett annak hagyományos építészeti tömege, eredeti anyaghasználata, eredeti tető formája. Meg kell őrizni, vagy az eredeti megsemmisülése esetén rekonstruálva kell felújítani a homlokzatot, annak felületképzését, a homlokzati díszeket, a homlokzat nyílásrendjét és a tető </w:t>
      </w:r>
      <w:proofErr w:type="spellStart"/>
      <w:r w:rsidRPr="003E2D3C">
        <w:rPr>
          <w:rFonts w:ascii="Verdana" w:hAnsi="Verdana" w:cs="Arial"/>
          <w:sz w:val="19"/>
          <w:szCs w:val="19"/>
        </w:rPr>
        <w:t>héjalását</w:t>
      </w:r>
      <w:proofErr w:type="spellEnd"/>
      <w:r w:rsidRPr="003E2D3C">
        <w:rPr>
          <w:rFonts w:ascii="Verdana" w:hAnsi="Verdana" w:cs="Arial"/>
          <w:sz w:val="19"/>
          <w:szCs w:val="19"/>
        </w:rPr>
        <w:t>. Az épület bővítése csak az eredeti épület jellegének, tömegkarakterének, arányainak megtartása mellett lehetséges.</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Villaépület a Kúria utca 2. szám alatt</w:t>
      </w:r>
      <w:r w:rsidRPr="003E2D3C">
        <w:rPr>
          <w:rFonts w:ascii="Verdana" w:hAnsi="Verdana" w:cs="Arial"/>
          <w:sz w:val="19"/>
          <w:szCs w:val="19"/>
        </w:rPr>
        <w:t>; hrsz.: 91/2</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 xml:space="preserve">Részleges védelemben részesül az épület, így védett annak hagyományos építészeti tömege, eredeti anyag-használata, eredeti tető formája. Meg kell őrizni, vagy az eredeti megsemmisülése esetén </w:t>
      </w:r>
      <w:proofErr w:type="spellStart"/>
      <w:r w:rsidRPr="003E2D3C">
        <w:rPr>
          <w:rFonts w:ascii="Verdana" w:hAnsi="Verdana" w:cs="Arial"/>
          <w:sz w:val="19"/>
          <w:szCs w:val="19"/>
        </w:rPr>
        <w:t>rekon-struálva</w:t>
      </w:r>
      <w:proofErr w:type="spellEnd"/>
      <w:r w:rsidRPr="003E2D3C">
        <w:rPr>
          <w:rFonts w:ascii="Verdana" w:hAnsi="Verdana" w:cs="Arial"/>
          <w:sz w:val="19"/>
          <w:szCs w:val="19"/>
        </w:rPr>
        <w:t xml:space="preserve"> kell felújítani a homlokzatot, annak felület-képzését, a homlokzati díszeket, a homlokzat nyílásrendjét és a tető </w:t>
      </w:r>
      <w:proofErr w:type="spellStart"/>
      <w:r w:rsidRPr="003E2D3C">
        <w:rPr>
          <w:rFonts w:ascii="Verdana" w:hAnsi="Verdana" w:cs="Arial"/>
          <w:sz w:val="19"/>
          <w:szCs w:val="19"/>
        </w:rPr>
        <w:t>héjalását</w:t>
      </w:r>
      <w:proofErr w:type="spellEnd"/>
      <w:r w:rsidRPr="003E2D3C">
        <w:rPr>
          <w:rFonts w:ascii="Verdana" w:hAnsi="Verdana" w:cs="Arial"/>
          <w:sz w:val="19"/>
          <w:szCs w:val="19"/>
        </w:rPr>
        <w:t>. Az épület bővítése csak az eredeti épület jellegének, tömegkarakterének, arányainak megtartása mellett lehetséges.</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Világháborús emlékmű a Kultúrháznál</w:t>
      </w:r>
      <w:r w:rsidRPr="003E2D3C">
        <w:rPr>
          <w:rFonts w:ascii="Verdana" w:hAnsi="Verdana" w:cs="Arial"/>
          <w:sz w:val="19"/>
          <w:szCs w:val="19"/>
        </w:rPr>
        <w:t>; hrsz.: 79/1</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 xml:space="preserve">Kőkereszt a </w:t>
      </w:r>
      <w:proofErr w:type="spellStart"/>
      <w:r w:rsidRPr="003E2D3C">
        <w:rPr>
          <w:rFonts w:ascii="Verdana" w:hAnsi="Verdana" w:cs="Arial"/>
          <w:b/>
          <w:sz w:val="19"/>
          <w:szCs w:val="19"/>
        </w:rPr>
        <w:t>kehidai</w:t>
      </w:r>
      <w:proofErr w:type="spellEnd"/>
      <w:r w:rsidRPr="003E2D3C">
        <w:rPr>
          <w:rFonts w:ascii="Verdana" w:hAnsi="Verdana" w:cs="Arial"/>
          <w:b/>
          <w:sz w:val="19"/>
          <w:szCs w:val="19"/>
        </w:rPr>
        <w:t xml:space="preserve"> temetőben</w:t>
      </w:r>
      <w:r w:rsidRPr="003E2D3C">
        <w:rPr>
          <w:rFonts w:ascii="Verdana" w:hAnsi="Verdana" w:cs="Arial"/>
          <w:sz w:val="19"/>
          <w:szCs w:val="19"/>
        </w:rPr>
        <w:t>; hrsz.: 045/1</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Kőkereszt a 7352 számú közút mentén</w:t>
      </w:r>
      <w:r w:rsidRPr="003E2D3C">
        <w:rPr>
          <w:rFonts w:ascii="Verdana" w:hAnsi="Verdana" w:cs="Arial"/>
          <w:sz w:val="19"/>
          <w:szCs w:val="19"/>
        </w:rPr>
        <w:t>; hrsz.: 320</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Deák mellszobor a Deák kúria udvarában</w:t>
      </w:r>
      <w:r w:rsidRPr="003E2D3C">
        <w:rPr>
          <w:rFonts w:ascii="Verdana" w:hAnsi="Verdana" w:cs="Arial"/>
          <w:sz w:val="19"/>
          <w:szCs w:val="19"/>
        </w:rPr>
        <w:t>; hrsz.: 88/4</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 xml:space="preserve">Kőkereszt a </w:t>
      </w:r>
      <w:proofErr w:type="spellStart"/>
      <w:r w:rsidRPr="003E2D3C">
        <w:rPr>
          <w:rFonts w:ascii="Verdana" w:hAnsi="Verdana" w:cs="Arial"/>
          <w:b/>
          <w:sz w:val="19"/>
          <w:szCs w:val="19"/>
        </w:rPr>
        <w:t>kehidai</w:t>
      </w:r>
      <w:proofErr w:type="spellEnd"/>
      <w:r w:rsidRPr="003E2D3C">
        <w:rPr>
          <w:rFonts w:ascii="Verdana" w:hAnsi="Verdana" w:cs="Arial"/>
          <w:b/>
          <w:sz w:val="19"/>
          <w:szCs w:val="19"/>
        </w:rPr>
        <w:t xml:space="preserve"> Kultúrháznál</w:t>
      </w:r>
      <w:r w:rsidRPr="003E2D3C">
        <w:rPr>
          <w:rFonts w:ascii="Verdana" w:hAnsi="Verdana" w:cs="Arial"/>
          <w:sz w:val="19"/>
          <w:szCs w:val="19"/>
        </w:rPr>
        <w:t>; hrsz.: 79/1</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3E2D3C"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Pr>
          <w:rFonts w:ascii="Verdana" w:hAnsi="Verdana" w:cs="Arial"/>
          <w:b/>
          <w:sz w:val="19"/>
          <w:szCs w:val="19"/>
        </w:rPr>
        <w:t>L</w:t>
      </w:r>
      <w:r w:rsidRPr="003E2D3C">
        <w:rPr>
          <w:rFonts w:ascii="Verdana" w:hAnsi="Verdana" w:cs="Arial"/>
          <w:b/>
          <w:sz w:val="19"/>
          <w:szCs w:val="19"/>
        </w:rPr>
        <w:t xml:space="preserve">akóépület </w:t>
      </w:r>
      <w:r>
        <w:rPr>
          <w:rFonts w:ascii="Verdana" w:hAnsi="Verdana" w:cs="Arial"/>
          <w:b/>
          <w:sz w:val="19"/>
          <w:szCs w:val="19"/>
        </w:rPr>
        <w:t xml:space="preserve">a </w:t>
      </w:r>
      <w:r w:rsidRPr="003E2D3C">
        <w:rPr>
          <w:rFonts w:ascii="Verdana" w:hAnsi="Verdana" w:cs="Arial"/>
          <w:b/>
          <w:sz w:val="19"/>
          <w:szCs w:val="19"/>
        </w:rPr>
        <w:t xml:space="preserve">Hunyadi út </w:t>
      </w:r>
      <w:r>
        <w:rPr>
          <w:rFonts w:ascii="Verdana" w:hAnsi="Verdana" w:cs="Arial"/>
          <w:b/>
          <w:sz w:val="19"/>
          <w:szCs w:val="19"/>
        </w:rPr>
        <w:t>20. szám alatt</w:t>
      </w:r>
      <w:r>
        <w:rPr>
          <w:rFonts w:ascii="Verdana" w:hAnsi="Verdana" w:cs="Arial"/>
          <w:sz w:val="19"/>
          <w:szCs w:val="19"/>
        </w:rPr>
        <w:t>; hrsz.: 634</w:t>
      </w:r>
    </w:p>
    <w:p w:rsidR="00BF06F4" w:rsidRDefault="00BF06F4" w:rsidP="00BF06F4">
      <w:pPr>
        <w:pStyle w:val="WW-Szvegtrzs2"/>
        <w:autoSpaceDE w:val="0"/>
        <w:rPr>
          <w:rFonts w:ascii="Verdana" w:hAnsi="Verdana" w:cs="Arial"/>
          <w:sz w:val="19"/>
          <w:szCs w:val="19"/>
        </w:rPr>
      </w:pPr>
      <w:r w:rsidRPr="003E2D3C">
        <w:rPr>
          <w:rFonts w:ascii="Verdana" w:hAnsi="Verdana" w:cs="Arial"/>
          <w:sz w:val="19"/>
          <w:szCs w:val="19"/>
        </w:rPr>
        <w:t xml:space="preserve">Részleges védelemben részesül az épület, így védett annak hagyományos építészeti tömegkaraktere, hosszépületének jellege, eredeti anyaghasználata, eredeti tető formája. Meg kell őrizni, vagy az eredeti megsemmisülése esetén rekonstruálva kell felújítani az utcai homlokzatot, annak felületképzését, a homlokzati díszeket, az utcafronti homlokzat nyílásrendjét, fa nyílászáró </w:t>
      </w:r>
      <w:r>
        <w:rPr>
          <w:rFonts w:ascii="Verdana" w:hAnsi="Verdana" w:cs="Arial"/>
          <w:sz w:val="19"/>
          <w:szCs w:val="19"/>
        </w:rPr>
        <w:t>szerkezeteit és a tető héjazatát</w:t>
      </w:r>
      <w:r w:rsidRPr="003E2D3C">
        <w:rPr>
          <w:rFonts w:ascii="Verdana" w:hAnsi="Verdana" w:cs="Arial"/>
          <w:sz w:val="19"/>
          <w:szCs w:val="19"/>
        </w:rPr>
        <w:t xml:space="preserve">. </w:t>
      </w:r>
    </w:p>
    <w:p w:rsidR="00BF06F4" w:rsidRDefault="00BF06F4" w:rsidP="00BF06F4">
      <w:pPr>
        <w:pStyle w:val="WW-Szvegtrzs2"/>
        <w:autoSpaceDE w:val="0"/>
        <w:rPr>
          <w:rFonts w:ascii="Verdana" w:hAnsi="Verdana" w:cs="Arial"/>
          <w:sz w:val="19"/>
          <w:szCs w:val="19"/>
        </w:rPr>
      </w:pPr>
    </w:p>
    <w:p w:rsidR="00BF06F4" w:rsidRDefault="00BF06F4" w:rsidP="00BF06F4">
      <w:pPr>
        <w:pStyle w:val="WW-Szvegtrzs2"/>
        <w:autoSpaceDE w:val="0"/>
        <w:rPr>
          <w:rFonts w:ascii="Verdana" w:hAnsi="Verdana" w:cs="Arial"/>
          <w:sz w:val="19"/>
          <w:szCs w:val="19"/>
        </w:rPr>
      </w:pPr>
      <w:r>
        <w:rPr>
          <w:rFonts w:ascii="Verdana" w:hAnsi="Verdana" w:cs="Arial"/>
          <w:b/>
          <w:sz w:val="19"/>
          <w:szCs w:val="19"/>
        </w:rPr>
        <w:t>Lakóépület a Hunyadi út 19</w:t>
      </w:r>
      <w:r w:rsidRPr="003E2D3C">
        <w:rPr>
          <w:rFonts w:ascii="Verdana" w:hAnsi="Verdana" w:cs="Arial"/>
          <w:b/>
          <w:sz w:val="19"/>
          <w:szCs w:val="19"/>
        </w:rPr>
        <w:t>. szám alatt</w:t>
      </w:r>
      <w:r>
        <w:rPr>
          <w:rFonts w:ascii="Verdana" w:hAnsi="Verdana" w:cs="Arial"/>
          <w:sz w:val="19"/>
          <w:szCs w:val="19"/>
        </w:rPr>
        <w:t>; hrsz.: 602</w:t>
      </w:r>
    </w:p>
    <w:p w:rsidR="00BF06F4" w:rsidRDefault="00BF06F4" w:rsidP="00BF06F4">
      <w:pPr>
        <w:pStyle w:val="WW-Szvegtrzs2"/>
        <w:autoSpaceDE w:val="0"/>
        <w:rPr>
          <w:rFonts w:ascii="Verdana" w:hAnsi="Verdana" w:cs="Arial"/>
          <w:sz w:val="19"/>
          <w:szCs w:val="19"/>
        </w:rPr>
      </w:pPr>
    </w:p>
    <w:p w:rsidR="00BF06F4" w:rsidRDefault="00BF06F4" w:rsidP="00BF06F4">
      <w:pPr>
        <w:pStyle w:val="WW-Szvegtrzs2"/>
        <w:autoSpaceDE w:val="0"/>
        <w:rPr>
          <w:rFonts w:ascii="Verdana" w:hAnsi="Verdana" w:cs="Arial"/>
          <w:sz w:val="19"/>
          <w:szCs w:val="19"/>
        </w:rPr>
      </w:pPr>
      <w:r w:rsidRPr="00457120">
        <w:rPr>
          <w:rFonts w:ascii="Verdana" w:hAnsi="Verdana" w:cs="Arial"/>
          <w:sz w:val="19"/>
          <w:szCs w:val="19"/>
        </w:rPr>
        <w:t>Részleges védelemben részesül az épület, így védett annak hagyományos építészeti tömegkaraktere, hosszépületének jellege, eredeti anyaghasználata, eredeti tető formája. Meg kell őrizni, vagy az eredeti megsemmisülése esetén rekonstruálva kell felújítani az utcai homlokzatot, annak felületképzését, a homlokzati díszeket, az utcafronti homlokzat nyílásrendjét, fa nyílászáró szerkezeteit és a tető héjazatát.</w:t>
      </w:r>
    </w:p>
    <w:p w:rsidR="00BF06F4" w:rsidRDefault="00BF06F4" w:rsidP="00BF06F4">
      <w:pPr>
        <w:pStyle w:val="WW-Szvegtrzs2"/>
        <w:autoSpaceDE w:val="0"/>
        <w:rPr>
          <w:rFonts w:ascii="Verdana" w:hAnsi="Verdana" w:cs="Arial"/>
          <w:sz w:val="19"/>
          <w:szCs w:val="19"/>
        </w:rPr>
      </w:pP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b/>
          <w:sz w:val="19"/>
          <w:szCs w:val="19"/>
        </w:rPr>
        <w:t>Szent Vendel szobor a Deák Ferenc utca 9. szám mellett</w:t>
      </w:r>
      <w:r>
        <w:rPr>
          <w:rFonts w:ascii="Verdana" w:hAnsi="Verdana" w:cs="Arial"/>
          <w:sz w:val="19"/>
          <w:szCs w:val="19"/>
        </w:rPr>
        <w:t xml:space="preserve">; </w:t>
      </w:r>
      <w:r w:rsidRPr="003E2D3C">
        <w:rPr>
          <w:rFonts w:ascii="Verdana" w:hAnsi="Verdana" w:cs="Arial"/>
          <w:sz w:val="19"/>
          <w:szCs w:val="19"/>
        </w:rPr>
        <w:t>hrsz.: 78/1</w:t>
      </w:r>
    </w:p>
    <w:p w:rsidR="00BF06F4" w:rsidRPr="003E2D3C" w:rsidRDefault="00BF06F4" w:rsidP="00BF06F4">
      <w:pPr>
        <w:pStyle w:val="WW-Szvegtrzs2"/>
        <w:autoSpaceDE w:val="0"/>
        <w:rPr>
          <w:rFonts w:ascii="Verdana" w:hAnsi="Verdana" w:cs="Arial"/>
          <w:sz w:val="19"/>
          <w:szCs w:val="19"/>
        </w:rPr>
      </w:pPr>
      <w:r w:rsidRPr="003E2D3C">
        <w:rPr>
          <w:rFonts w:ascii="Verdana" w:hAnsi="Verdana" w:cs="Arial"/>
          <w:sz w:val="19"/>
          <w:szCs w:val="19"/>
        </w:rPr>
        <w:t>Teljes védelemben részesülő építmény, emlékmű.</w:t>
      </w:r>
    </w:p>
    <w:p w:rsidR="00BF06F4" w:rsidRPr="00E744E6" w:rsidRDefault="00BF06F4" w:rsidP="00BF06F4">
      <w:pPr>
        <w:pStyle w:val="WW-Szvegtrzs2"/>
        <w:autoSpaceDE w:val="0"/>
        <w:rPr>
          <w:rFonts w:ascii="Verdana" w:hAnsi="Verdana" w:cs="Arial"/>
          <w:sz w:val="19"/>
          <w:szCs w:val="19"/>
        </w:rPr>
      </w:pPr>
    </w:p>
    <w:p w:rsidR="00BF06F4" w:rsidRPr="00E744E6" w:rsidRDefault="00BF06F4" w:rsidP="00BF06F4">
      <w:pPr>
        <w:pStyle w:val="WW-Szvegtrzs2"/>
        <w:autoSpaceDE w:val="0"/>
        <w:rPr>
          <w:rFonts w:ascii="Verdana" w:hAnsi="Verdana" w:cs="Arial"/>
          <w:sz w:val="19"/>
          <w:szCs w:val="19"/>
        </w:rPr>
      </w:pPr>
    </w:p>
    <w:p w:rsidR="00BF06F4" w:rsidRPr="00E744E6" w:rsidRDefault="00BF06F4" w:rsidP="00BF06F4">
      <w:pPr>
        <w:autoSpaceDE w:val="0"/>
        <w:autoSpaceDN w:val="0"/>
        <w:adjustRightInd w:val="0"/>
        <w:spacing w:after="0" w:line="240" w:lineRule="auto"/>
        <w:jc w:val="center"/>
        <w:rPr>
          <w:rFonts w:ascii="Verdana" w:hAnsi="Verdana" w:cs="Arial"/>
          <w:b/>
          <w:sz w:val="19"/>
          <w:szCs w:val="19"/>
        </w:rPr>
      </w:pPr>
      <w:r w:rsidRPr="00E744E6">
        <w:rPr>
          <w:rFonts w:ascii="Verdana" w:hAnsi="Verdana" w:cs="Arial"/>
          <w:b/>
          <w:sz w:val="19"/>
          <w:szCs w:val="19"/>
        </w:rPr>
        <w:t>2. Helyi védelem alatt álló táji-, és természeti értékek</w:t>
      </w:r>
    </w:p>
    <w:p w:rsidR="00BF06F4" w:rsidRPr="00E744E6" w:rsidRDefault="00BF06F4" w:rsidP="00BF06F4">
      <w:pPr>
        <w:autoSpaceDE w:val="0"/>
        <w:autoSpaceDN w:val="0"/>
        <w:adjustRightInd w:val="0"/>
        <w:spacing w:after="0" w:line="240" w:lineRule="auto"/>
        <w:jc w:val="center"/>
        <w:rPr>
          <w:rFonts w:ascii="Verdana" w:hAnsi="Verdana" w:cs="Arial"/>
          <w:b/>
          <w:sz w:val="19"/>
          <w:szCs w:val="19"/>
        </w:rPr>
      </w:pPr>
    </w:p>
    <w:p w:rsidR="00BF06F4" w:rsidRPr="00685E3B" w:rsidRDefault="00BF06F4" w:rsidP="00BF06F4">
      <w:pPr>
        <w:autoSpaceDE w:val="0"/>
        <w:autoSpaceDN w:val="0"/>
        <w:adjustRightInd w:val="0"/>
        <w:spacing w:after="0" w:line="240" w:lineRule="auto"/>
        <w:jc w:val="center"/>
        <w:rPr>
          <w:rFonts w:ascii="Verdana" w:hAnsi="Verdana" w:cs="Arial"/>
          <w:sz w:val="19"/>
          <w:szCs w:val="19"/>
        </w:rPr>
      </w:pPr>
    </w:p>
    <w:p w:rsidR="00BF06F4" w:rsidRDefault="00BF06F4" w:rsidP="00BF06F4">
      <w:pPr>
        <w:autoSpaceDE w:val="0"/>
        <w:autoSpaceDN w:val="0"/>
        <w:adjustRightInd w:val="0"/>
        <w:spacing w:after="0" w:line="240" w:lineRule="auto"/>
        <w:rPr>
          <w:rFonts w:ascii="Verdana" w:hAnsi="Verdana" w:cs="Arial"/>
          <w:sz w:val="19"/>
          <w:szCs w:val="19"/>
        </w:rPr>
      </w:pPr>
      <w:r w:rsidRPr="00685E3B">
        <w:rPr>
          <w:rFonts w:ascii="Verdana" w:hAnsi="Verdana" w:cs="Arial"/>
          <w:sz w:val="19"/>
          <w:szCs w:val="19"/>
        </w:rPr>
        <w:t>helyszín</w:t>
      </w:r>
      <w:r w:rsidRPr="00685E3B">
        <w:rPr>
          <w:rFonts w:ascii="Verdana" w:hAnsi="Verdana" w:cs="Arial"/>
          <w:sz w:val="19"/>
          <w:szCs w:val="19"/>
        </w:rPr>
        <w:tab/>
        <w:t xml:space="preserve">érintett </w:t>
      </w:r>
      <w:r>
        <w:rPr>
          <w:rFonts w:ascii="Verdana" w:hAnsi="Verdana" w:cs="Arial"/>
          <w:sz w:val="19"/>
          <w:szCs w:val="19"/>
        </w:rPr>
        <w:t xml:space="preserve">  </w:t>
      </w:r>
      <w:r w:rsidRPr="00685E3B">
        <w:rPr>
          <w:rFonts w:ascii="Verdana" w:hAnsi="Verdana" w:cs="Arial"/>
          <w:sz w:val="19"/>
          <w:szCs w:val="19"/>
        </w:rPr>
        <w:t>hrsz</w:t>
      </w:r>
      <w:proofErr w:type="gramStart"/>
      <w:r w:rsidRPr="00685E3B">
        <w:rPr>
          <w:rFonts w:ascii="Verdana" w:hAnsi="Verdana" w:cs="Arial"/>
          <w:sz w:val="19"/>
          <w:szCs w:val="19"/>
        </w:rPr>
        <w:tab/>
      </w:r>
      <w:r>
        <w:rPr>
          <w:rFonts w:ascii="Verdana" w:hAnsi="Verdana" w:cs="Arial"/>
          <w:sz w:val="19"/>
          <w:szCs w:val="19"/>
        </w:rPr>
        <w:t xml:space="preserve">  terület</w:t>
      </w:r>
      <w:proofErr w:type="gramEnd"/>
      <w:r>
        <w:rPr>
          <w:rFonts w:ascii="Verdana" w:hAnsi="Verdana" w:cs="Arial"/>
          <w:sz w:val="19"/>
          <w:szCs w:val="19"/>
        </w:rPr>
        <w:t xml:space="preserve">    védetté </w:t>
      </w:r>
      <w:proofErr w:type="spellStart"/>
      <w:r w:rsidRPr="00685E3B">
        <w:rPr>
          <w:rFonts w:ascii="Verdana" w:hAnsi="Verdana" w:cs="Arial"/>
          <w:sz w:val="19"/>
          <w:szCs w:val="19"/>
        </w:rPr>
        <w:t>nyilv</w:t>
      </w:r>
      <w:proofErr w:type="spellEnd"/>
      <w:r w:rsidRPr="00685E3B">
        <w:rPr>
          <w:rFonts w:ascii="Verdana" w:hAnsi="Verdana" w:cs="Arial"/>
          <w:sz w:val="19"/>
          <w:szCs w:val="19"/>
        </w:rPr>
        <w:t>. éve</w:t>
      </w:r>
      <w:r w:rsidRPr="00685E3B">
        <w:rPr>
          <w:rFonts w:ascii="Verdana" w:hAnsi="Verdana" w:cs="Arial"/>
          <w:sz w:val="19"/>
          <w:szCs w:val="19"/>
        </w:rPr>
        <w:tab/>
      </w:r>
      <w:r>
        <w:rPr>
          <w:rFonts w:ascii="Verdana" w:hAnsi="Verdana" w:cs="Arial"/>
          <w:sz w:val="19"/>
          <w:szCs w:val="19"/>
        </w:rPr>
        <w:t xml:space="preserve">          </w:t>
      </w:r>
      <w:r w:rsidRPr="00685E3B">
        <w:rPr>
          <w:rFonts w:ascii="Verdana" w:hAnsi="Verdana" w:cs="Arial"/>
          <w:sz w:val="19"/>
          <w:szCs w:val="19"/>
        </w:rPr>
        <w:t>védelem indoklása</w:t>
      </w:r>
    </w:p>
    <w:p w:rsidR="00BF06F4" w:rsidRPr="00685E3B" w:rsidRDefault="00BF06F4" w:rsidP="00BF06F4">
      <w:pPr>
        <w:autoSpaceDE w:val="0"/>
        <w:autoSpaceDN w:val="0"/>
        <w:adjustRightInd w:val="0"/>
        <w:spacing w:after="0" w:line="240" w:lineRule="auto"/>
        <w:rPr>
          <w:rFonts w:ascii="Verdana" w:hAnsi="Verdana" w:cs="Arial"/>
          <w:sz w:val="19"/>
          <w:szCs w:val="19"/>
        </w:rPr>
      </w:pPr>
    </w:p>
    <w:p w:rsidR="00BF06F4" w:rsidRPr="00685E3B" w:rsidRDefault="00BF06F4" w:rsidP="00BF06F4">
      <w:pPr>
        <w:autoSpaceDE w:val="0"/>
        <w:autoSpaceDN w:val="0"/>
        <w:adjustRightInd w:val="0"/>
        <w:spacing w:after="0" w:line="240" w:lineRule="auto"/>
        <w:rPr>
          <w:rFonts w:ascii="Verdana" w:hAnsi="Verdana" w:cs="Arial"/>
          <w:sz w:val="19"/>
          <w:szCs w:val="19"/>
        </w:rPr>
      </w:pPr>
      <w:r w:rsidRPr="00685E3B">
        <w:rPr>
          <w:rFonts w:ascii="Verdana" w:hAnsi="Verdana" w:cs="Arial"/>
          <w:sz w:val="19"/>
          <w:szCs w:val="19"/>
        </w:rPr>
        <w:t>Deák kút és környéke</w:t>
      </w:r>
      <w:proofErr w:type="gramStart"/>
      <w:r w:rsidRPr="00685E3B">
        <w:rPr>
          <w:rFonts w:ascii="Verdana" w:hAnsi="Verdana" w:cs="Arial"/>
          <w:sz w:val="19"/>
          <w:szCs w:val="19"/>
        </w:rPr>
        <w:tab/>
      </w:r>
      <w:r>
        <w:rPr>
          <w:rFonts w:ascii="Verdana" w:hAnsi="Verdana" w:cs="Arial"/>
          <w:sz w:val="19"/>
          <w:szCs w:val="19"/>
        </w:rPr>
        <w:t xml:space="preserve">  </w:t>
      </w:r>
      <w:r w:rsidRPr="00685E3B">
        <w:rPr>
          <w:rFonts w:ascii="Verdana" w:hAnsi="Verdana" w:cs="Arial"/>
          <w:sz w:val="19"/>
          <w:szCs w:val="19"/>
        </w:rPr>
        <w:t>075</w:t>
      </w:r>
      <w:proofErr w:type="gramEnd"/>
      <w:r w:rsidRPr="00685E3B">
        <w:rPr>
          <w:rFonts w:ascii="Verdana" w:hAnsi="Verdana" w:cs="Arial"/>
          <w:sz w:val="19"/>
          <w:szCs w:val="19"/>
        </w:rPr>
        <w:tab/>
        <w:t>4.2862 ha</w:t>
      </w:r>
      <w:r w:rsidRPr="00685E3B">
        <w:rPr>
          <w:rFonts w:ascii="Verdana" w:hAnsi="Verdana" w:cs="Arial"/>
          <w:sz w:val="19"/>
          <w:szCs w:val="19"/>
        </w:rPr>
        <w:tab/>
        <w:t>1981</w:t>
      </w:r>
      <w:r w:rsidRPr="00685E3B">
        <w:rPr>
          <w:rFonts w:ascii="Verdana" w:hAnsi="Verdana" w:cs="Arial"/>
          <w:sz w:val="19"/>
          <w:szCs w:val="19"/>
        </w:rPr>
        <w:tab/>
      </w:r>
      <w:r>
        <w:rPr>
          <w:rFonts w:ascii="Verdana" w:hAnsi="Verdana" w:cs="Arial"/>
          <w:sz w:val="19"/>
          <w:szCs w:val="19"/>
        </w:rPr>
        <w:t xml:space="preserve">           </w:t>
      </w:r>
      <w:r w:rsidRPr="00685E3B">
        <w:rPr>
          <w:rFonts w:ascii="Verdana" w:hAnsi="Verdana" w:cs="Arial"/>
          <w:sz w:val="19"/>
          <w:szCs w:val="19"/>
        </w:rPr>
        <w:t>A kút és környezetének megőrzése</w:t>
      </w:r>
    </w:p>
    <w:p w:rsidR="00BF06F4" w:rsidRPr="00685E3B" w:rsidRDefault="00BF06F4" w:rsidP="00BF06F4">
      <w:pPr>
        <w:autoSpaceDE w:val="0"/>
        <w:autoSpaceDN w:val="0"/>
        <w:adjustRightInd w:val="0"/>
        <w:spacing w:after="0" w:line="240" w:lineRule="auto"/>
        <w:rPr>
          <w:rFonts w:ascii="Verdana" w:hAnsi="Verdana" w:cs="Arial"/>
          <w:sz w:val="19"/>
          <w:szCs w:val="19"/>
        </w:rPr>
      </w:pPr>
      <w:r w:rsidRPr="00685E3B">
        <w:rPr>
          <w:rFonts w:ascii="Verdana" w:hAnsi="Verdana" w:cs="Arial"/>
          <w:sz w:val="19"/>
          <w:szCs w:val="19"/>
        </w:rPr>
        <w:t>Iskolapark</w:t>
      </w:r>
      <w:r w:rsidRPr="00685E3B">
        <w:rPr>
          <w:rFonts w:ascii="Verdana" w:hAnsi="Verdana" w:cs="Arial"/>
          <w:sz w:val="19"/>
          <w:szCs w:val="19"/>
        </w:rPr>
        <w:tab/>
      </w:r>
      <w:r>
        <w:rPr>
          <w:rFonts w:ascii="Verdana" w:hAnsi="Verdana" w:cs="Arial"/>
          <w:sz w:val="19"/>
          <w:szCs w:val="19"/>
        </w:rPr>
        <w:t xml:space="preserve">             </w:t>
      </w:r>
      <w:r w:rsidRPr="00685E3B">
        <w:rPr>
          <w:rFonts w:ascii="Verdana" w:hAnsi="Verdana" w:cs="Arial"/>
          <w:sz w:val="19"/>
          <w:szCs w:val="19"/>
        </w:rPr>
        <w:t>88/4</w:t>
      </w:r>
      <w:r w:rsidRPr="00685E3B">
        <w:rPr>
          <w:rFonts w:ascii="Verdana" w:hAnsi="Verdana" w:cs="Arial"/>
          <w:sz w:val="19"/>
          <w:szCs w:val="19"/>
        </w:rPr>
        <w:tab/>
      </w:r>
      <w:r>
        <w:rPr>
          <w:rFonts w:ascii="Verdana" w:hAnsi="Verdana" w:cs="Arial"/>
          <w:sz w:val="19"/>
          <w:szCs w:val="19"/>
        </w:rPr>
        <w:t xml:space="preserve">   </w:t>
      </w:r>
      <w:r w:rsidRPr="00BF06F4">
        <w:rPr>
          <w:rFonts w:ascii="Verdana" w:hAnsi="Verdana" w:cs="Arial"/>
          <w:sz w:val="19"/>
          <w:szCs w:val="19"/>
        </w:rPr>
        <w:t>1052 ha</w:t>
      </w:r>
      <w:r w:rsidRPr="00685E3B">
        <w:rPr>
          <w:rFonts w:ascii="Verdana" w:hAnsi="Verdana" w:cs="Arial"/>
          <w:sz w:val="19"/>
          <w:szCs w:val="19"/>
        </w:rPr>
        <w:tab/>
        <w:t>1974</w:t>
      </w:r>
      <w:r w:rsidRPr="00685E3B">
        <w:rPr>
          <w:rFonts w:ascii="Verdana" w:hAnsi="Verdana" w:cs="Arial"/>
          <w:sz w:val="19"/>
          <w:szCs w:val="19"/>
        </w:rPr>
        <w:tab/>
      </w:r>
      <w:r>
        <w:rPr>
          <w:rFonts w:ascii="Verdana" w:hAnsi="Verdana" w:cs="Arial"/>
          <w:sz w:val="19"/>
          <w:szCs w:val="19"/>
        </w:rPr>
        <w:t xml:space="preserve">           Műemléki környezet</w:t>
      </w:r>
    </w:p>
    <w:p w:rsidR="00BF06F4" w:rsidRPr="00685E3B" w:rsidRDefault="00BF06F4" w:rsidP="00BF06F4">
      <w:pPr>
        <w:autoSpaceDE w:val="0"/>
        <w:autoSpaceDN w:val="0"/>
        <w:adjustRightInd w:val="0"/>
        <w:spacing w:after="0" w:line="240" w:lineRule="auto"/>
        <w:jc w:val="center"/>
        <w:rPr>
          <w:rFonts w:ascii="Verdana" w:hAnsi="Verdana" w:cs="Arial"/>
          <w:sz w:val="19"/>
          <w:szCs w:val="19"/>
        </w:rPr>
      </w:pPr>
    </w:p>
    <w:p w:rsidR="00BF06F4" w:rsidRPr="00685E3B" w:rsidRDefault="00BF06F4" w:rsidP="00BF06F4">
      <w:pPr>
        <w:autoSpaceDE w:val="0"/>
        <w:autoSpaceDN w:val="0"/>
        <w:adjustRightInd w:val="0"/>
        <w:spacing w:after="0" w:line="240" w:lineRule="auto"/>
        <w:rPr>
          <w:rFonts w:ascii="Verdana" w:hAnsi="Verdana" w:cs="Arial"/>
          <w:sz w:val="19"/>
          <w:szCs w:val="19"/>
        </w:rPr>
      </w:pPr>
      <w:proofErr w:type="spellStart"/>
      <w:r w:rsidRPr="00685E3B">
        <w:rPr>
          <w:rFonts w:ascii="Verdana" w:hAnsi="Verdana" w:cs="Arial"/>
          <w:sz w:val="19"/>
          <w:szCs w:val="19"/>
        </w:rPr>
        <w:t>Öregj</w:t>
      </w:r>
      <w:proofErr w:type="spellEnd"/>
      <w:r w:rsidRPr="00685E3B">
        <w:rPr>
          <w:rFonts w:ascii="Verdana" w:hAnsi="Verdana" w:cs="Arial"/>
          <w:sz w:val="19"/>
          <w:szCs w:val="19"/>
        </w:rPr>
        <w:t>-hegy</w:t>
      </w:r>
      <w:r w:rsidRPr="00685E3B">
        <w:rPr>
          <w:rFonts w:ascii="Verdana" w:hAnsi="Verdana" w:cs="Arial"/>
          <w:sz w:val="19"/>
          <w:szCs w:val="19"/>
        </w:rPr>
        <w:tab/>
      </w:r>
      <w:r>
        <w:rPr>
          <w:rFonts w:ascii="Verdana" w:hAnsi="Verdana" w:cs="Arial"/>
          <w:sz w:val="19"/>
          <w:szCs w:val="19"/>
        </w:rPr>
        <w:t xml:space="preserve">            067/3</w:t>
      </w:r>
      <w:r>
        <w:rPr>
          <w:rFonts w:ascii="Verdana" w:hAnsi="Verdana" w:cs="Arial"/>
          <w:sz w:val="19"/>
          <w:szCs w:val="19"/>
        </w:rPr>
        <w:tab/>
        <w:t xml:space="preserve">   7073</w:t>
      </w:r>
      <w:r w:rsidRPr="00685E3B">
        <w:rPr>
          <w:rFonts w:ascii="Verdana" w:hAnsi="Verdana" w:cs="Arial"/>
          <w:sz w:val="19"/>
          <w:szCs w:val="19"/>
        </w:rPr>
        <w:t xml:space="preserve"> m2</w:t>
      </w:r>
      <w:r w:rsidRPr="00685E3B">
        <w:rPr>
          <w:rFonts w:ascii="Verdana" w:hAnsi="Verdana" w:cs="Arial"/>
          <w:sz w:val="19"/>
          <w:szCs w:val="19"/>
        </w:rPr>
        <w:tab/>
        <w:t>magántulajdon</w:t>
      </w:r>
      <w:r w:rsidRPr="00685E3B">
        <w:rPr>
          <w:rFonts w:ascii="Verdana" w:hAnsi="Verdana" w:cs="Arial"/>
          <w:sz w:val="19"/>
          <w:szCs w:val="19"/>
        </w:rPr>
        <w:tab/>
        <w:t>védett növény- és állatfajok</w:t>
      </w:r>
    </w:p>
    <w:p w:rsidR="00BF06F4" w:rsidRPr="00685E3B" w:rsidRDefault="00BF06F4" w:rsidP="00BF06F4">
      <w:pPr>
        <w:autoSpaceDE w:val="0"/>
        <w:autoSpaceDN w:val="0"/>
        <w:adjustRightInd w:val="0"/>
        <w:spacing w:after="0" w:line="240" w:lineRule="auto"/>
        <w:jc w:val="center"/>
        <w:rPr>
          <w:rFonts w:ascii="Verdana" w:hAnsi="Verdana" w:cs="Arial"/>
          <w:sz w:val="19"/>
          <w:szCs w:val="19"/>
        </w:rPr>
      </w:pPr>
      <w:r w:rsidRPr="00685E3B">
        <w:rPr>
          <w:rFonts w:ascii="Verdana" w:hAnsi="Verdana" w:cs="Arial"/>
          <w:sz w:val="19"/>
          <w:szCs w:val="19"/>
        </w:rPr>
        <w:tab/>
      </w:r>
      <w:r>
        <w:rPr>
          <w:rFonts w:ascii="Verdana" w:hAnsi="Verdana" w:cs="Arial"/>
          <w:sz w:val="19"/>
          <w:szCs w:val="19"/>
        </w:rPr>
        <w:t xml:space="preserve">                      </w:t>
      </w:r>
      <w:r w:rsidRPr="00685E3B">
        <w:rPr>
          <w:rFonts w:ascii="Verdana" w:hAnsi="Verdana" w:cs="Arial"/>
          <w:sz w:val="19"/>
          <w:szCs w:val="19"/>
        </w:rPr>
        <w:t>067/6</w:t>
      </w:r>
      <w:proofErr w:type="gramStart"/>
      <w:r w:rsidRPr="00685E3B">
        <w:rPr>
          <w:rFonts w:ascii="Verdana" w:hAnsi="Verdana" w:cs="Arial"/>
          <w:sz w:val="19"/>
          <w:szCs w:val="19"/>
        </w:rPr>
        <w:tab/>
      </w:r>
      <w:r>
        <w:rPr>
          <w:rFonts w:ascii="Verdana" w:hAnsi="Verdana" w:cs="Arial"/>
          <w:sz w:val="19"/>
          <w:szCs w:val="19"/>
        </w:rPr>
        <w:t xml:space="preserve">  </w:t>
      </w:r>
      <w:r w:rsidRPr="00685E3B">
        <w:rPr>
          <w:rFonts w:ascii="Verdana" w:hAnsi="Verdana" w:cs="Arial"/>
          <w:sz w:val="19"/>
          <w:szCs w:val="19"/>
        </w:rPr>
        <w:t>1668</w:t>
      </w:r>
      <w:proofErr w:type="gramEnd"/>
      <w:r w:rsidRPr="00685E3B">
        <w:rPr>
          <w:rFonts w:ascii="Verdana" w:hAnsi="Verdana" w:cs="Arial"/>
          <w:sz w:val="19"/>
          <w:szCs w:val="19"/>
        </w:rPr>
        <w:t xml:space="preserve">  m2</w:t>
      </w:r>
      <w:r w:rsidRPr="00685E3B">
        <w:rPr>
          <w:rFonts w:ascii="Verdana" w:hAnsi="Verdana" w:cs="Arial"/>
          <w:sz w:val="19"/>
          <w:szCs w:val="19"/>
        </w:rPr>
        <w:tab/>
        <w:t>magántulajdon</w:t>
      </w:r>
      <w:r w:rsidRPr="00685E3B">
        <w:rPr>
          <w:rFonts w:ascii="Verdana" w:hAnsi="Verdana" w:cs="Arial"/>
          <w:sz w:val="19"/>
          <w:szCs w:val="19"/>
        </w:rPr>
        <w:tab/>
        <w:t>védett növény- és állatfajok</w:t>
      </w:r>
    </w:p>
    <w:p w:rsidR="00BF06F4" w:rsidRPr="00685E3B" w:rsidRDefault="00BF06F4" w:rsidP="00BF06F4">
      <w:pPr>
        <w:autoSpaceDE w:val="0"/>
        <w:autoSpaceDN w:val="0"/>
        <w:adjustRightInd w:val="0"/>
        <w:spacing w:after="0" w:line="240" w:lineRule="auto"/>
        <w:jc w:val="center"/>
        <w:rPr>
          <w:rFonts w:ascii="Verdana" w:hAnsi="Verdana" w:cs="Arial"/>
          <w:sz w:val="19"/>
          <w:szCs w:val="19"/>
        </w:rPr>
      </w:pPr>
      <w:r w:rsidRPr="00685E3B">
        <w:rPr>
          <w:rFonts w:ascii="Verdana" w:hAnsi="Verdana" w:cs="Arial"/>
          <w:sz w:val="19"/>
          <w:szCs w:val="19"/>
        </w:rPr>
        <w:tab/>
      </w:r>
      <w:r>
        <w:rPr>
          <w:rFonts w:ascii="Verdana" w:hAnsi="Verdana" w:cs="Arial"/>
          <w:sz w:val="19"/>
          <w:szCs w:val="19"/>
        </w:rPr>
        <w:t xml:space="preserve">                      </w:t>
      </w:r>
      <w:r w:rsidRPr="00685E3B">
        <w:rPr>
          <w:rFonts w:ascii="Verdana" w:hAnsi="Verdana" w:cs="Arial"/>
          <w:sz w:val="19"/>
          <w:szCs w:val="19"/>
        </w:rPr>
        <w:t>067/9</w:t>
      </w:r>
      <w:r w:rsidRPr="00685E3B">
        <w:rPr>
          <w:rFonts w:ascii="Verdana" w:hAnsi="Verdana" w:cs="Arial"/>
          <w:sz w:val="19"/>
          <w:szCs w:val="19"/>
        </w:rPr>
        <w:tab/>
      </w:r>
      <w:r>
        <w:rPr>
          <w:rFonts w:ascii="Verdana" w:hAnsi="Verdana" w:cs="Arial"/>
          <w:sz w:val="19"/>
          <w:szCs w:val="19"/>
        </w:rPr>
        <w:t xml:space="preserve">   </w:t>
      </w:r>
      <w:proofErr w:type="gramStart"/>
      <w:r w:rsidRPr="00685E3B">
        <w:rPr>
          <w:rFonts w:ascii="Verdana" w:hAnsi="Verdana" w:cs="Arial"/>
          <w:sz w:val="19"/>
          <w:szCs w:val="19"/>
        </w:rPr>
        <w:t>1585  m</w:t>
      </w:r>
      <w:proofErr w:type="gramEnd"/>
      <w:r w:rsidRPr="00685E3B">
        <w:rPr>
          <w:rFonts w:ascii="Verdana" w:hAnsi="Verdana" w:cs="Arial"/>
          <w:sz w:val="19"/>
          <w:szCs w:val="19"/>
        </w:rPr>
        <w:t>2</w:t>
      </w:r>
      <w:r w:rsidRPr="00685E3B">
        <w:rPr>
          <w:rFonts w:ascii="Verdana" w:hAnsi="Verdana" w:cs="Arial"/>
          <w:sz w:val="19"/>
          <w:szCs w:val="19"/>
        </w:rPr>
        <w:tab/>
        <w:t>magántulajdon</w:t>
      </w:r>
      <w:r w:rsidRPr="00685E3B">
        <w:rPr>
          <w:rFonts w:ascii="Verdana" w:hAnsi="Verdana" w:cs="Arial"/>
          <w:sz w:val="19"/>
          <w:szCs w:val="19"/>
        </w:rPr>
        <w:tab/>
        <w:t>védett növény- és állatfajok</w:t>
      </w:r>
    </w:p>
    <w:p w:rsidR="00BF06F4" w:rsidRPr="00685E3B" w:rsidRDefault="00BF06F4" w:rsidP="00BF06F4">
      <w:pPr>
        <w:autoSpaceDE w:val="0"/>
        <w:autoSpaceDN w:val="0"/>
        <w:adjustRightInd w:val="0"/>
        <w:spacing w:after="0" w:line="240" w:lineRule="auto"/>
        <w:jc w:val="center"/>
        <w:rPr>
          <w:rFonts w:ascii="Verdana" w:hAnsi="Verdana" w:cs="Arial"/>
          <w:sz w:val="19"/>
          <w:szCs w:val="19"/>
        </w:rPr>
      </w:pPr>
      <w:r w:rsidRPr="00685E3B">
        <w:rPr>
          <w:rFonts w:ascii="Verdana" w:hAnsi="Verdana" w:cs="Arial"/>
          <w:sz w:val="19"/>
          <w:szCs w:val="19"/>
        </w:rPr>
        <w:tab/>
      </w:r>
      <w:r>
        <w:rPr>
          <w:rFonts w:ascii="Verdana" w:hAnsi="Verdana" w:cs="Arial"/>
          <w:sz w:val="19"/>
          <w:szCs w:val="19"/>
        </w:rPr>
        <w:t xml:space="preserve">                     </w:t>
      </w:r>
      <w:r w:rsidRPr="00685E3B">
        <w:rPr>
          <w:rFonts w:ascii="Verdana" w:hAnsi="Verdana" w:cs="Arial"/>
          <w:sz w:val="19"/>
          <w:szCs w:val="19"/>
        </w:rPr>
        <w:t>067/10</w:t>
      </w:r>
      <w:r w:rsidRPr="00685E3B">
        <w:rPr>
          <w:rFonts w:ascii="Verdana" w:hAnsi="Verdana" w:cs="Arial"/>
          <w:sz w:val="19"/>
          <w:szCs w:val="19"/>
        </w:rPr>
        <w:tab/>
      </w:r>
      <w:r>
        <w:rPr>
          <w:rFonts w:ascii="Verdana" w:hAnsi="Verdana" w:cs="Arial"/>
          <w:sz w:val="19"/>
          <w:szCs w:val="19"/>
        </w:rPr>
        <w:t xml:space="preserve">   </w:t>
      </w:r>
      <w:proofErr w:type="gramStart"/>
      <w:r w:rsidRPr="00685E3B">
        <w:rPr>
          <w:rFonts w:ascii="Verdana" w:hAnsi="Verdana" w:cs="Arial"/>
          <w:sz w:val="19"/>
          <w:szCs w:val="19"/>
        </w:rPr>
        <w:t>4238  m</w:t>
      </w:r>
      <w:proofErr w:type="gramEnd"/>
      <w:r w:rsidRPr="00685E3B">
        <w:rPr>
          <w:rFonts w:ascii="Verdana" w:hAnsi="Verdana" w:cs="Arial"/>
          <w:sz w:val="19"/>
          <w:szCs w:val="19"/>
        </w:rPr>
        <w:t>2</w:t>
      </w:r>
      <w:r w:rsidRPr="00685E3B">
        <w:rPr>
          <w:rFonts w:ascii="Verdana" w:hAnsi="Verdana" w:cs="Arial"/>
          <w:sz w:val="19"/>
          <w:szCs w:val="19"/>
        </w:rPr>
        <w:tab/>
        <w:t>magántulajdon</w:t>
      </w:r>
      <w:r w:rsidRPr="00685E3B">
        <w:rPr>
          <w:rFonts w:ascii="Verdana" w:hAnsi="Verdana" w:cs="Arial"/>
          <w:sz w:val="19"/>
          <w:szCs w:val="19"/>
        </w:rPr>
        <w:tab/>
        <w:t>védett növény- és állatfajok</w:t>
      </w:r>
    </w:p>
    <w:p w:rsidR="00BF06F4" w:rsidRPr="00E744E6" w:rsidRDefault="00BF06F4" w:rsidP="00BF06F4">
      <w:pPr>
        <w:autoSpaceDE w:val="0"/>
        <w:autoSpaceDN w:val="0"/>
        <w:adjustRightInd w:val="0"/>
        <w:spacing w:after="0" w:line="240" w:lineRule="auto"/>
        <w:jc w:val="center"/>
        <w:rPr>
          <w:rFonts w:ascii="Verdana" w:hAnsi="Verdana" w:cs="Arial"/>
          <w:sz w:val="19"/>
          <w:szCs w:val="19"/>
        </w:rPr>
      </w:pPr>
      <w:r w:rsidRPr="00685E3B">
        <w:rPr>
          <w:rFonts w:ascii="Verdana" w:hAnsi="Verdana" w:cs="Arial"/>
          <w:sz w:val="19"/>
          <w:szCs w:val="19"/>
        </w:rPr>
        <w:tab/>
      </w:r>
      <w:r>
        <w:rPr>
          <w:rFonts w:ascii="Verdana" w:hAnsi="Verdana" w:cs="Arial"/>
          <w:sz w:val="19"/>
          <w:szCs w:val="19"/>
        </w:rPr>
        <w:t xml:space="preserve">                      067/11   </w:t>
      </w:r>
      <w:proofErr w:type="gramStart"/>
      <w:r w:rsidRPr="00685E3B">
        <w:rPr>
          <w:rFonts w:ascii="Verdana" w:hAnsi="Verdana" w:cs="Arial"/>
          <w:sz w:val="19"/>
          <w:szCs w:val="19"/>
        </w:rPr>
        <w:t>1081  m</w:t>
      </w:r>
      <w:proofErr w:type="gramEnd"/>
      <w:r w:rsidRPr="00685E3B">
        <w:rPr>
          <w:rFonts w:ascii="Verdana" w:hAnsi="Verdana" w:cs="Arial"/>
          <w:sz w:val="19"/>
          <w:szCs w:val="19"/>
        </w:rPr>
        <w:t>2</w:t>
      </w:r>
      <w:r w:rsidRPr="00685E3B">
        <w:rPr>
          <w:rFonts w:ascii="Verdana" w:hAnsi="Verdana" w:cs="Arial"/>
          <w:sz w:val="19"/>
          <w:szCs w:val="19"/>
        </w:rPr>
        <w:tab/>
        <w:t>magántulajdon</w:t>
      </w:r>
      <w:r w:rsidRPr="00685E3B">
        <w:rPr>
          <w:rFonts w:ascii="Verdana" w:hAnsi="Verdana" w:cs="Arial"/>
          <w:sz w:val="19"/>
          <w:szCs w:val="19"/>
        </w:rPr>
        <w:tab/>
        <w:t>védett növény- és állatfajok</w:t>
      </w:r>
    </w:p>
    <w:p w:rsidR="00287F5B" w:rsidRDefault="00287F5B"/>
    <w:sectPr w:rsidR="00287F5B" w:rsidSect="007E33C3">
      <w:footerReference w:type="default" r:id="rId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138219"/>
      <w:docPartObj>
        <w:docPartGallery w:val="Page Numbers (Bottom of Page)"/>
        <w:docPartUnique/>
      </w:docPartObj>
    </w:sdtPr>
    <w:sdtEndPr>
      <w:rPr>
        <w:rFonts w:ascii="Verdana" w:hAnsi="Verdana"/>
        <w:color w:val="808080" w:themeColor="background1" w:themeShade="80"/>
        <w:sz w:val="18"/>
        <w:szCs w:val="18"/>
      </w:rPr>
    </w:sdtEndPr>
    <w:sdtContent>
      <w:p w:rsidR="00022C51" w:rsidRPr="00455A3A" w:rsidRDefault="00BF06F4">
        <w:pPr>
          <w:pStyle w:val="llb"/>
          <w:jc w:val="center"/>
          <w:rPr>
            <w:rFonts w:ascii="Verdana" w:hAnsi="Verdana"/>
            <w:color w:val="808080" w:themeColor="background1" w:themeShade="80"/>
            <w:sz w:val="18"/>
            <w:szCs w:val="18"/>
          </w:rPr>
        </w:pPr>
        <w:r w:rsidRPr="00455A3A">
          <w:rPr>
            <w:rFonts w:ascii="Verdana" w:hAnsi="Verdana" w:cs="Times New Roman"/>
            <w:color w:val="808080" w:themeColor="background1" w:themeShade="80"/>
            <w:sz w:val="18"/>
            <w:szCs w:val="18"/>
          </w:rPr>
          <w:fldChar w:fldCharType="begin"/>
        </w:r>
        <w:r w:rsidRPr="00455A3A">
          <w:rPr>
            <w:rFonts w:ascii="Verdana" w:hAnsi="Verdana" w:cs="Times New Roman"/>
            <w:color w:val="808080" w:themeColor="background1" w:themeShade="80"/>
            <w:sz w:val="18"/>
            <w:szCs w:val="18"/>
          </w:rPr>
          <w:instrText xml:space="preserve"> PAGE   \* MERGEFORMAT </w:instrText>
        </w:r>
        <w:r w:rsidRPr="00455A3A">
          <w:rPr>
            <w:rFonts w:ascii="Verdana" w:hAnsi="Verdana" w:cs="Times New Roman"/>
            <w:color w:val="808080" w:themeColor="background1" w:themeShade="80"/>
            <w:sz w:val="18"/>
            <w:szCs w:val="18"/>
          </w:rPr>
          <w:fldChar w:fldCharType="separate"/>
        </w:r>
        <w:r>
          <w:rPr>
            <w:rFonts w:ascii="Verdana" w:hAnsi="Verdana" w:cs="Times New Roman"/>
            <w:noProof/>
            <w:color w:val="808080" w:themeColor="background1" w:themeShade="80"/>
            <w:sz w:val="18"/>
            <w:szCs w:val="18"/>
          </w:rPr>
          <w:t>14</w:t>
        </w:r>
        <w:r w:rsidRPr="00455A3A">
          <w:rPr>
            <w:rFonts w:ascii="Verdana" w:hAnsi="Verdana" w:cs="Times New Roman"/>
            <w:color w:val="808080" w:themeColor="background1" w:themeShade="80"/>
            <w:sz w:val="18"/>
            <w:szCs w:val="18"/>
          </w:rPr>
          <w:fldChar w:fldCharType="end"/>
        </w:r>
      </w:p>
    </w:sdtContent>
  </w:sdt>
  <w:p w:rsidR="00022C51" w:rsidRDefault="00BF06F4">
    <w:pPr>
      <w:pStyle w:val="ll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8C4561"/>
    <w:multiLevelType w:val="hybridMultilevel"/>
    <w:tmpl w:val="FF365C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F4"/>
    <w:rsid w:val="00287F5B"/>
    <w:rsid w:val="00BF06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32C9"/>
  <w15:chartTrackingRefBased/>
  <w15:docId w15:val="{45E26909-A43B-452C-A556-7CC62732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BF06F4"/>
    <w:pPr>
      <w:spacing w:after="200" w:line="276" w:lineRule="auto"/>
    </w:pPr>
    <w:rPr>
      <w:rFonts w:eastAsiaTheme="minorEastAsia"/>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F06F4"/>
    <w:pPr>
      <w:ind w:left="720"/>
      <w:contextualSpacing/>
    </w:pPr>
  </w:style>
  <w:style w:type="paragraph" w:styleId="llb">
    <w:name w:val="footer"/>
    <w:basedOn w:val="Norml"/>
    <w:link w:val="llbChar"/>
    <w:uiPriority w:val="99"/>
    <w:unhideWhenUsed/>
    <w:rsid w:val="00BF06F4"/>
    <w:pPr>
      <w:tabs>
        <w:tab w:val="center" w:pos="4536"/>
        <w:tab w:val="right" w:pos="9072"/>
      </w:tabs>
      <w:spacing w:after="0" w:line="240" w:lineRule="auto"/>
    </w:pPr>
  </w:style>
  <w:style w:type="character" w:customStyle="1" w:styleId="llbChar">
    <w:name w:val="Élőláb Char"/>
    <w:basedOn w:val="Bekezdsalapbettpusa"/>
    <w:link w:val="llb"/>
    <w:uiPriority w:val="99"/>
    <w:rsid w:val="00BF06F4"/>
    <w:rPr>
      <w:rFonts w:eastAsiaTheme="minorEastAsia"/>
      <w:lang w:eastAsia="hu-HU"/>
    </w:rPr>
  </w:style>
  <w:style w:type="paragraph" w:customStyle="1" w:styleId="WW-Szvegtrzs2">
    <w:name w:val="WW-Szövegtörzs 2"/>
    <w:basedOn w:val="Norml"/>
    <w:rsid w:val="00BF06F4"/>
    <w:pPr>
      <w:suppressAutoHyphens/>
      <w:spacing w:after="0" w:line="240" w:lineRule="auto"/>
      <w:jc w:val="both"/>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5352</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1</cp:revision>
  <dcterms:created xsi:type="dcterms:W3CDTF">2019-10-09T15:28:00Z</dcterms:created>
  <dcterms:modified xsi:type="dcterms:W3CDTF">2019-10-09T15:30:00Z</dcterms:modified>
</cp:coreProperties>
</file>