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69" w:rsidRDefault="00FC3069" w:rsidP="00FC3069">
      <w:pPr>
        <w:jc w:val="right"/>
      </w:pPr>
      <w:r>
        <w:t>1.számú</w:t>
      </w:r>
      <w:r>
        <w:rPr>
          <w:rFonts w:eastAsia="Times New Roman"/>
        </w:rPr>
        <w:t xml:space="preserve"> </w:t>
      </w:r>
      <w:r>
        <w:t>melléklet</w:t>
      </w:r>
    </w:p>
    <w:p w:rsidR="00FC3069" w:rsidRDefault="00FC3069" w:rsidP="00FC3069"/>
    <w:p w:rsidR="00FC3069" w:rsidRDefault="00FC3069" w:rsidP="00FC3069">
      <w:pPr>
        <w:jc w:val="center"/>
        <w:rPr>
          <w:rFonts w:eastAsia="Times New Roman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BALMAZÚJVÁROSI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KISTÉRSÉG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HUMÁN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SZOLGÁLTATÓ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KÖZPONT</w:t>
      </w:r>
      <w:r>
        <w:rPr>
          <w:rFonts w:eastAsia="Times New Roman"/>
          <w:sz w:val="22"/>
          <w:szCs w:val="22"/>
        </w:rPr>
        <w:t xml:space="preserve"> </w:t>
      </w:r>
    </w:p>
    <w:p w:rsidR="00FC3069" w:rsidRDefault="00FC3069" w:rsidP="00FC3069">
      <w:pPr>
        <w:jc w:val="center"/>
        <w:rPr>
          <w:rFonts w:eastAsia="Times New Roman"/>
          <w:sz w:val="22"/>
          <w:szCs w:val="22"/>
        </w:rPr>
      </w:pPr>
      <w:r>
        <w:rPr>
          <w:rFonts w:cs="Tahoma"/>
          <w:sz w:val="22"/>
          <w:szCs w:val="22"/>
        </w:rPr>
        <w:t>által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biztosított</w:t>
      </w: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069" w:rsidRDefault="00FC3069" w:rsidP="00FC3069">
      <w:pPr>
        <w:tabs>
          <w:tab w:val="left" w:pos="2160"/>
        </w:tabs>
        <w:ind w:left="720" w:hanging="360"/>
        <w:jc w:val="center"/>
        <w:rPr>
          <w:rFonts w:eastAsia="Times New Roman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-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HORTOBÁGY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településen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igénybe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vehető</w:t>
      </w:r>
      <w:r>
        <w:rPr>
          <w:rFonts w:eastAsia="Times New Roman"/>
          <w:sz w:val="22"/>
          <w:szCs w:val="22"/>
        </w:rPr>
        <w:t xml:space="preserve"> – </w:t>
      </w:r>
    </w:p>
    <w:p w:rsidR="00FC3069" w:rsidRDefault="00FC3069" w:rsidP="00FC3069">
      <w:pPr>
        <w:tabs>
          <w:tab w:val="left" w:pos="360"/>
        </w:tabs>
        <w:jc w:val="center"/>
        <w:rPr>
          <w:sz w:val="22"/>
          <w:szCs w:val="22"/>
        </w:rPr>
      </w:pPr>
      <w:r>
        <w:rPr>
          <w:rFonts w:cs="Tahoma"/>
          <w:sz w:val="22"/>
          <w:szCs w:val="22"/>
        </w:rPr>
        <w:t>szolgáltatások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2012.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évi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intézményi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térítési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díjai</w:t>
      </w:r>
    </w:p>
    <w:p w:rsidR="00FC3069" w:rsidRDefault="00FC3069" w:rsidP="00FC3069">
      <w:pPr>
        <w:tabs>
          <w:tab w:val="left" w:pos="360"/>
        </w:tabs>
        <w:jc w:val="center"/>
      </w:pPr>
    </w:p>
    <w:p w:rsidR="00FC3069" w:rsidRDefault="00FC3069" w:rsidP="00FC3069">
      <w:pPr>
        <w:tabs>
          <w:tab w:val="left" w:pos="360"/>
        </w:tabs>
        <w:jc w:val="center"/>
      </w:pPr>
      <w:bookmarkStart w:id="0" w:name="_GoBack"/>
      <w:bookmarkEnd w:id="0"/>
    </w:p>
    <w:p w:rsidR="00FC3069" w:rsidRDefault="00FC3069" w:rsidP="00FC3069">
      <w:pPr>
        <w:tabs>
          <w:tab w:val="left" w:pos="360"/>
        </w:tabs>
        <w:jc w:val="center"/>
        <w:rPr>
          <w:rFonts w:cs="Tahoma"/>
          <w:sz w:val="16"/>
          <w:szCs w:val="16"/>
        </w:rPr>
      </w:pPr>
    </w:p>
    <w:tbl>
      <w:tblPr>
        <w:tblW w:w="146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21"/>
        <w:gridCol w:w="5484"/>
      </w:tblGrid>
      <w:tr w:rsidR="00FC3069" w:rsidTr="00F51CA9">
        <w:trPr>
          <w:tblHeader/>
        </w:trPr>
        <w:tc>
          <w:tcPr>
            <w:tcW w:w="9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fejlc"/>
              <w:tabs>
                <w:tab w:val="left" w:pos="360"/>
              </w:tabs>
              <w:snapToGrid w:val="0"/>
              <w:rPr>
                <w:i w:val="0"/>
                <w:iCs w:val="0"/>
                <w:spacing w:val="20"/>
                <w:sz w:val="18"/>
                <w:szCs w:val="18"/>
              </w:rPr>
            </w:pPr>
            <w:r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>ELLÁTÁS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MEGNEVEZÉSE</w:t>
            </w:r>
          </w:p>
        </w:tc>
        <w:tc>
          <w:tcPr>
            <w:tcW w:w="5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fejlc"/>
              <w:tabs>
                <w:tab w:val="left" w:pos="360"/>
              </w:tabs>
              <w:snapToGrid w:val="0"/>
              <w:rPr>
                <w:i w:val="0"/>
                <w:iCs w:val="0"/>
                <w:spacing w:val="20"/>
                <w:sz w:val="18"/>
                <w:szCs w:val="18"/>
              </w:rPr>
            </w:pPr>
            <w:r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>INTÉZMÉNYI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TÉRÍTÉSI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DÍJ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ÖSSZEGE</w:t>
            </w:r>
          </w:p>
        </w:tc>
      </w:tr>
      <w:tr w:rsidR="00FC3069" w:rsidTr="00F51CA9">
        <w:tc>
          <w:tcPr>
            <w:tcW w:w="146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fejlc"/>
              <w:tabs>
                <w:tab w:val="left" w:pos="360"/>
              </w:tabs>
              <w:snapToGrid w:val="0"/>
              <w:jc w:val="both"/>
              <w:rPr>
                <w:rFonts w:cs="Tahoma"/>
                <w:i w:val="0"/>
                <w:iCs w:val="0"/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pacing w:val="60"/>
                <w:sz w:val="18"/>
                <w:szCs w:val="18"/>
              </w:rPr>
              <w:t>Étkeztetés</w:t>
            </w:r>
            <w:r>
              <w:rPr>
                <w:rFonts w:eastAsia="Times New Roman" w:cs="Times New Roman"/>
                <w:b/>
                <w:bCs/>
                <w:spacing w:val="60"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>(áfás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ár)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Azon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ellátottaknak,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akik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részére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települési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önkormányzat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szociális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étkeztetést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biztosít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%-át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éri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290.-</w:t>
            </w:r>
            <w:r>
              <w:rPr>
                <w:sz w:val="18"/>
                <w:szCs w:val="18"/>
              </w:rPr>
              <w:t>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között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van.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340</w:t>
            </w:r>
            <w:r>
              <w:rPr>
                <w:rFonts w:eastAsia="Times New Roman" w:cs="Times New Roman"/>
                <w:sz w:val="18"/>
                <w:szCs w:val="18"/>
              </w:rPr>
              <w:t>.-</w:t>
            </w:r>
            <w:r>
              <w:rPr>
                <w:sz w:val="18"/>
                <w:szCs w:val="18"/>
              </w:rPr>
              <w:t>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ahoma"/>
                <w:b/>
                <w:bCs/>
                <w:spacing w:val="60"/>
                <w:sz w:val="18"/>
                <w:szCs w:val="18"/>
              </w:rPr>
              <w:t>-</w:t>
            </w:r>
            <w:r>
              <w:rPr>
                <w:rFonts w:cs="Tahoma"/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%-át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meghaladja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rFonts w:cs="Tahoma"/>
                <w:sz w:val="18"/>
                <w:szCs w:val="18"/>
                <w:lang w:bidi="ar-SA"/>
              </w:rPr>
            </w:pPr>
            <w:r>
              <w:rPr>
                <w:rFonts w:cs="Tahoma"/>
                <w:sz w:val="18"/>
                <w:szCs w:val="18"/>
                <w:lang w:bidi="ar-SA"/>
              </w:rPr>
              <w:t>370.-Ft/adag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rFonts w:cs="Tahoma"/>
                <w:b/>
                <w:bCs/>
                <w:spacing w:val="60"/>
                <w:sz w:val="18"/>
                <w:szCs w:val="18"/>
              </w:rPr>
            </w:pP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rFonts w:cs="Tahoma"/>
                <w:sz w:val="18"/>
                <w:szCs w:val="18"/>
                <w:lang w:bidi="ar-SA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pacing w:val="60"/>
                <w:sz w:val="18"/>
                <w:szCs w:val="18"/>
              </w:rPr>
              <w:t>Étkeztetés</w:t>
            </w:r>
            <w:r>
              <w:rPr>
                <w:rFonts w:eastAsia="Times New Roman" w:cs="Times New Roman"/>
                <w:b/>
                <w:bCs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0"/>
                <w:sz w:val="18"/>
                <w:szCs w:val="18"/>
              </w:rPr>
              <w:t>+</w:t>
            </w:r>
            <w:r>
              <w:rPr>
                <w:rFonts w:eastAsia="Times New Roman" w:cs="Times New Roman"/>
                <w:b/>
                <w:bCs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0"/>
                <w:sz w:val="18"/>
                <w:szCs w:val="18"/>
              </w:rPr>
              <w:t>szállítás</w:t>
            </w:r>
            <w:r>
              <w:rPr>
                <w:rFonts w:eastAsia="Times New Roman" w:cs="Times New Roman"/>
                <w:b/>
                <w:bCs/>
                <w:spacing w:val="60"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bCs/>
                <w:sz w:val="18"/>
                <w:szCs w:val="18"/>
              </w:rPr>
              <w:t>(áfás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ár)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Azon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ellátottaknak,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akik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részére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települési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önkormányzat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szociális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étkeztetést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biztosít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kerékpáros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szállítás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esetén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144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%-át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éri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430.-</w:t>
            </w:r>
            <w:r>
              <w:rPr>
                <w:sz w:val="18"/>
                <w:szCs w:val="18"/>
              </w:rPr>
              <w:t>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144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150%-a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300%-a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között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van.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450.-</w:t>
            </w:r>
            <w:r>
              <w:rPr>
                <w:sz w:val="18"/>
                <w:szCs w:val="18"/>
              </w:rPr>
              <w:t>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300%-át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meghaladja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480.-Ft/adag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2160"/>
              </w:tabs>
              <w:snapToGrid w:val="0"/>
              <w:ind w:left="720" w:hanging="360"/>
              <w:jc w:val="both"/>
              <w:rPr>
                <w:sz w:val="18"/>
                <w:szCs w:val="18"/>
              </w:rPr>
            </w:pP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144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Azon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ellátottaknak,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akik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részére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települési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önkormányzat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szociális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étkeztetést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biztosít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gépkocsival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történő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szállítás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esetén.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150%-át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éri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650.-Ft/adag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1440"/>
              </w:tabs>
              <w:snapToGrid w:val="0"/>
              <w:ind w:right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150°%-a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között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van.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700.- </w:t>
            </w:r>
            <w:r>
              <w:rPr>
                <w:sz w:val="18"/>
                <w:szCs w:val="18"/>
              </w:rPr>
              <w:t>Ft/adag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144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Szt.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119/C.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§-a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megállapított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egyéni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jövedelme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nyugdíjminimum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300%-át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meghaladja.</w:t>
            </w:r>
          </w:p>
        </w:tc>
        <w:tc>
          <w:tcPr>
            <w:tcW w:w="54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36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750.- </w:t>
            </w:r>
            <w:r>
              <w:rPr>
                <w:sz w:val="18"/>
                <w:szCs w:val="18"/>
              </w:rPr>
              <w:t>Ft/adag</w:t>
            </w:r>
          </w:p>
        </w:tc>
      </w:tr>
    </w:tbl>
    <w:p w:rsidR="00FC3069" w:rsidRDefault="00FC3069" w:rsidP="00FC3069">
      <w:pPr>
        <w:tabs>
          <w:tab w:val="left" w:leader="underscore" w:pos="14601"/>
        </w:tabs>
        <w:rPr>
          <w:rFonts w:eastAsia="Times New Roman"/>
          <w:b/>
          <w:bCs/>
          <w:color w:val="17365D"/>
          <w:sz w:val="28"/>
          <w:szCs w:val="20"/>
          <w:vertAlign w:val="superscript"/>
          <w:lang/>
        </w:rPr>
      </w:pPr>
      <w:r>
        <w:rPr>
          <w:rFonts w:eastAsia="Times New Roman"/>
          <w:b/>
          <w:bCs/>
          <w:color w:val="17365D"/>
          <w:sz w:val="28"/>
          <w:szCs w:val="20"/>
          <w:vertAlign w:val="superscript"/>
          <w:lang/>
        </w:rPr>
        <w:tab/>
      </w:r>
    </w:p>
    <w:p w:rsidR="00FC3069" w:rsidRDefault="00FC3069" w:rsidP="00FC3069">
      <w:pPr>
        <w:rPr>
          <w:rFonts w:eastAsia="Times New Roman"/>
          <w:bCs/>
          <w:sz w:val="20"/>
          <w:szCs w:val="20"/>
          <w:lang/>
        </w:rPr>
      </w:pPr>
      <w:r w:rsidRPr="006E6E1D">
        <w:rPr>
          <w:rFonts w:eastAsia="Times New Roman"/>
          <w:b/>
          <w:bCs/>
          <w:color w:val="17365D"/>
          <w:sz w:val="28"/>
          <w:szCs w:val="20"/>
          <w:vertAlign w:val="superscript"/>
          <w:lang/>
        </w:rPr>
        <w:t>1</w:t>
      </w:r>
      <w:r w:rsidRPr="006E6E1D">
        <w:rPr>
          <w:rFonts w:eastAsia="Times New Roman"/>
          <w:bCs/>
          <w:sz w:val="20"/>
          <w:szCs w:val="20"/>
          <w:lang/>
        </w:rPr>
        <w:t>Az 1. számú melléklet helyébe a 2/2013. (I.30) Hö. rendelet 1. sz. melléklete lép. Hatályos: 2013. február 1-től.</w:t>
      </w:r>
    </w:p>
    <w:p w:rsidR="00FC3069" w:rsidRDefault="00FC3069" w:rsidP="00FC3069">
      <w:pPr>
        <w:rPr>
          <w:rFonts w:eastAsia="Times New Roman"/>
          <w:bCs/>
          <w:sz w:val="20"/>
          <w:szCs w:val="20"/>
          <w:lang/>
        </w:rPr>
      </w:pPr>
    </w:p>
    <w:tbl>
      <w:tblPr>
        <w:tblW w:w="146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21"/>
        <w:gridCol w:w="2698"/>
        <w:gridCol w:w="2786"/>
      </w:tblGrid>
      <w:tr w:rsidR="00FC3069" w:rsidTr="00F51CA9">
        <w:trPr>
          <w:tblHeader/>
        </w:trPr>
        <w:tc>
          <w:tcPr>
            <w:tcW w:w="9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fejlc"/>
              <w:tabs>
                <w:tab w:val="left" w:pos="360"/>
              </w:tabs>
              <w:snapToGrid w:val="0"/>
              <w:rPr>
                <w:i w:val="0"/>
                <w:iCs w:val="0"/>
                <w:spacing w:val="20"/>
                <w:sz w:val="18"/>
                <w:szCs w:val="18"/>
              </w:rPr>
            </w:pPr>
            <w:r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lastRenderedPageBreak/>
              <w:t>ELLÁTÁS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MEGNEVEZÉSE</w:t>
            </w:r>
          </w:p>
        </w:tc>
        <w:tc>
          <w:tcPr>
            <w:tcW w:w="54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fejlc"/>
              <w:tabs>
                <w:tab w:val="left" w:pos="360"/>
              </w:tabs>
              <w:snapToGrid w:val="0"/>
              <w:rPr>
                <w:i w:val="0"/>
                <w:iCs w:val="0"/>
                <w:spacing w:val="20"/>
                <w:sz w:val="18"/>
                <w:szCs w:val="18"/>
              </w:rPr>
            </w:pPr>
            <w:r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>INTÉZMÉNYI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TÉRÍTÉSI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DÍJ</w:t>
            </w:r>
            <w:r>
              <w:rPr>
                <w:rFonts w:eastAsia="Times New Roman" w:cs="Times New Roman"/>
                <w:i w:val="0"/>
                <w:iCs w:val="0"/>
                <w:spacing w:val="20"/>
                <w:sz w:val="18"/>
                <w:szCs w:val="18"/>
              </w:rPr>
              <w:t xml:space="preserve"> </w:t>
            </w:r>
            <w:r>
              <w:rPr>
                <w:i w:val="0"/>
                <w:iCs w:val="0"/>
                <w:spacing w:val="20"/>
                <w:sz w:val="18"/>
                <w:szCs w:val="18"/>
              </w:rPr>
              <w:t>ÖSSZEGE</w:t>
            </w:r>
          </w:p>
        </w:tc>
      </w:tr>
      <w:tr w:rsidR="00FC3069" w:rsidTr="00F51CA9">
        <w:trPr>
          <w:tblHeader/>
        </w:trPr>
        <w:tc>
          <w:tcPr>
            <w:tcW w:w="9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  <w:r w:rsidRPr="0021117A"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 xml:space="preserve">Házi segítségnyújtás </w:t>
            </w:r>
          </w:p>
        </w:tc>
        <w:tc>
          <w:tcPr>
            <w:tcW w:w="54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</w:p>
        </w:tc>
      </w:tr>
      <w:tr w:rsidR="00FC3069" w:rsidTr="00F51CA9">
        <w:trPr>
          <w:tblHeader/>
        </w:trPr>
        <w:tc>
          <w:tcPr>
            <w:tcW w:w="9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  <w:r w:rsidRPr="0021117A"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>Azon ellátottaknak, akik részére a  települési önkormányzat házi segítségnyújtást biztosít</w:t>
            </w:r>
          </w:p>
        </w:tc>
        <w:tc>
          <w:tcPr>
            <w:tcW w:w="54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</w:p>
        </w:tc>
      </w:tr>
      <w:tr w:rsidR="00FC3069" w:rsidTr="00F51CA9">
        <w:trPr>
          <w:tblHeader/>
        </w:trPr>
        <w:tc>
          <w:tcPr>
            <w:tcW w:w="9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  <w:r w:rsidRPr="0021117A"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 xml:space="preserve">- a Szt. 119/C. §-a alapján megállapított  egyéni havi jövedelme a nyugdíjminim 150%-át nem haladja meg </w:t>
            </w:r>
          </w:p>
        </w:tc>
        <w:tc>
          <w:tcPr>
            <w:tcW w:w="54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  <w:r w:rsidRPr="0021117A"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>110.-Ft/óra</w:t>
            </w:r>
          </w:p>
        </w:tc>
      </w:tr>
      <w:tr w:rsidR="00FC3069" w:rsidTr="00F51CA9">
        <w:trPr>
          <w:tblHeader/>
        </w:trPr>
        <w:tc>
          <w:tcPr>
            <w:tcW w:w="9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tartalom"/>
              <w:numPr>
                <w:ilvl w:val="0"/>
                <w:numId w:val="1"/>
              </w:numPr>
              <w:tabs>
                <w:tab w:val="left" w:pos="586"/>
              </w:tabs>
              <w:snapToGrid w:val="0"/>
              <w:ind w:left="-67" w:right="5"/>
              <w:jc w:val="both"/>
              <w:rPr>
                <w:rFonts w:cs="Tahoma"/>
                <w:b/>
                <w:bCs/>
                <w:spacing w:val="20"/>
                <w:sz w:val="18"/>
                <w:szCs w:val="18"/>
              </w:rPr>
            </w:pPr>
            <w:r w:rsidRPr="0021117A">
              <w:rPr>
                <w:rFonts w:cs="Tahoma"/>
                <w:b/>
                <w:bCs/>
                <w:spacing w:val="20"/>
                <w:sz w:val="18"/>
                <w:szCs w:val="18"/>
              </w:rPr>
              <w:t xml:space="preserve"> - a Szt. 119/C. §-a alapján megállapított egyéni jövedelme a nyugdíjminim 150 %-át meghaladja.</w:t>
            </w:r>
          </w:p>
        </w:tc>
        <w:tc>
          <w:tcPr>
            <w:tcW w:w="54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Pr="0021117A" w:rsidRDefault="00FC3069" w:rsidP="00F51CA9">
            <w:pPr>
              <w:pStyle w:val="Tblzatfejlc"/>
              <w:tabs>
                <w:tab w:val="left" w:pos="360"/>
              </w:tabs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</w:pPr>
            <w:r w:rsidRPr="0021117A">
              <w:rPr>
                <w:rFonts w:cs="Tahoma"/>
                <w:i w:val="0"/>
                <w:iCs w:val="0"/>
                <w:spacing w:val="20"/>
                <w:sz w:val="18"/>
                <w:szCs w:val="18"/>
              </w:rPr>
              <w:t>165.-Ft/óra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1"/>
              </w:numPr>
              <w:tabs>
                <w:tab w:val="left" w:pos="586"/>
              </w:tabs>
              <w:snapToGrid w:val="0"/>
              <w:ind w:left="-67" w:right="5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1"/>
              </w:numPr>
              <w:tabs>
                <w:tab w:val="left" w:pos="586"/>
              </w:tabs>
              <w:snapToGrid w:val="0"/>
              <w:ind w:left="-67" w:right="5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3069" w:rsidTr="00F51CA9">
        <w:trPr>
          <w:trHeight w:val="342"/>
        </w:trPr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1"/>
              </w:numPr>
              <w:tabs>
                <w:tab w:val="left" w:pos="586"/>
              </w:tabs>
              <w:snapToGrid w:val="0"/>
              <w:ind w:left="-67" w:right="5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Szociális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rászorultság</w:t>
            </w:r>
          </w:p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alapján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biztosított</w:t>
            </w:r>
          </w:p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szolgáltatás</w:t>
            </w:r>
          </w:p>
        </w:tc>
        <w:tc>
          <w:tcPr>
            <w:tcW w:w="2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Szociálisan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nem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rászoruló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részére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biztosított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szolgáltatás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1"/>
              </w:numPr>
              <w:tabs>
                <w:tab w:val="left" w:pos="360"/>
              </w:tabs>
              <w:snapToGrid w:val="0"/>
              <w:jc w:val="both"/>
              <w:rPr>
                <w:rFonts w:eastAsia="Times New Roman" w:cs="Times New Roman"/>
                <w:b/>
                <w:bCs/>
                <w:spacing w:val="60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pacing w:val="60"/>
                <w:sz w:val="18"/>
                <w:szCs w:val="18"/>
                <w:lang w:bidi="ar-SA"/>
              </w:rPr>
              <w:t xml:space="preserve">Támogató </w:t>
            </w:r>
            <w:r>
              <w:rPr>
                <w:b/>
                <w:bCs/>
                <w:spacing w:val="60"/>
                <w:sz w:val="18"/>
                <w:szCs w:val="18"/>
                <w:lang w:bidi="ar-SA"/>
              </w:rPr>
              <w:t>Szolgáltatás</w:t>
            </w:r>
            <w:r>
              <w:rPr>
                <w:rFonts w:eastAsia="Times New Roman" w:cs="Times New Roman"/>
                <w:b/>
                <w:bCs/>
                <w:spacing w:val="6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1"/>
              </w:numPr>
              <w:tabs>
                <w:tab w:val="left" w:pos="653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Személyi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segítés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0.-Ft/óra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1.500.-Ft/óra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992"/>
              </w:tabs>
              <w:snapToGrid w:val="0"/>
              <w:ind w:left="-44" w:right="5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Szállítói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Szolgálat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snapToGrid w:val="0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2"/>
              </w:numPr>
              <w:tabs>
                <w:tab w:val="left" w:pos="252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Hortobágy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területén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kívül: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55.-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Ft/km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cs="Tahoma"/>
                <w:sz w:val="18"/>
                <w:szCs w:val="18"/>
              </w:rPr>
              <w:t>150.-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Ft/km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numPr>
                <w:ilvl w:val="0"/>
                <w:numId w:val="3"/>
              </w:numPr>
              <w:tabs>
                <w:tab w:val="left" w:pos="252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Hortobágy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belterületén: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Fogyatékkal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élő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személy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részére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70.-Ft/km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fogyatékos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személy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részére</w:t>
            </w: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</w:p>
        </w:tc>
        <w:tc>
          <w:tcPr>
            <w:tcW w:w="2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150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Ft/km</w:t>
            </w:r>
          </w:p>
        </w:tc>
      </w:tr>
      <w:tr w:rsidR="00FC3069" w:rsidTr="00F51CA9">
        <w:tc>
          <w:tcPr>
            <w:tcW w:w="146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pStyle w:val="Tblzattartalom"/>
              <w:tabs>
                <w:tab w:val="left" w:pos="72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tabs>
                <w:tab w:val="left" w:pos="720"/>
              </w:tabs>
              <w:snapToGrid w:val="0"/>
              <w:rPr>
                <w:rFonts w:eastAsia="Times New Roman"/>
                <w:b/>
                <w:spacing w:val="60"/>
                <w:sz w:val="18"/>
                <w:szCs w:val="18"/>
              </w:rPr>
            </w:pPr>
            <w:r>
              <w:rPr>
                <w:b/>
                <w:spacing w:val="60"/>
                <w:sz w:val="18"/>
                <w:szCs w:val="18"/>
              </w:rPr>
              <w:t>Közösségi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spacing w:val="60"/>
                <w:sz w:val="18"/>
                <w:szCs w:val="18"/>
              </w:rPr>
              <w:t>pszichiátriai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spacing w:val="60"/>
                <w:sz w:val="18"/>
                <w:szCs w:val="18"/>
              </w:rPr>
              <w:t>gondozá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>s</w:t>
            </w:r>
          </w:p>
        </w:tc>
        <w:tc>
          <w:tcPr>
            <w:tcW w:w="54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térítésmentes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snapToGrid w:val="0"/>
              <w:rPr>
                <w:b/>
                <w:spacing w:val="60"/>
                <w:sz w:val="18"/>
                <w:szCs w:val="18"/>
              </w:rPr>
            </w:pPr>
            <w:r>
              <w:rPr>
                <w:b/>
                <w:spacing w:val="60"/>
                <w:sz w:val="18"/>
                <w:szCs w:val="18"/>
              </w:rPr>
              <w:t>Közösségi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spacing w:val="60"/>
                <w:sz w:val="18"/>
                <w:szCs w:val="18"/>
              </w:rPr>
              <w:t>szenvedélybeteg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spacing w:val="60"/>
                <w:sz w:val="18"/>
                <w:szCs w:val="18"/>
              </w:rPr>
              <w:t>gondozása</w:t>
            </w:r>
          </w:p>
        </w:tc>
        <w:tc>
          <w:tcPr>
            <w:tcW w:w="54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térítésmentes</w:t>
            </w:r>
          </w:p>
        </w:tc>
      </w:tr>
      <w:tr w:rsidR="00FC3069" w:rsidTr="00F51CA9">
        <w:tc>
          <w:tcPr>
            <w:tcW w:w="9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snapToGrid w:val="0"/>
              <w:rPr>
                <w:b/>
                <w:spacing w:val="60"/>
                <w:sz w:val="18"/>
                <w:szCs w:val="18"/>
              </w:rPr>
            </w:pPr>
            <w:r>
              <w:rPr>
                <w:b/>
                <w:spacing w:val="60"/>
                <w:sz w:val="18"/>
                <w:szCs w:val="18"/>
              </w:rPr>
              <w:t>Szenvedélybeteg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spacing w:val="60"/>
                <w:sz w:val="18"/>
                <w:szCs w:val="18"/>
              </w:rPr>
              <w:t>nappali</w:t>
            </w:r>
            <w:r>
              <w:rPr>
                <w:rFonts w:eastAsia="Times New Roman"/>
                <w:b/>
                <w:spacing w:val="60"/>
                <w:sz w:val="18"/>
                <w:szCs w:val="18"/>
              </w:rPr>
              <w:t xml:space="preserve"> </w:t>
            </w:r>
            <w:r>
              <w:rPr>
                <w:b/>
                <w:spacing w:val="60"/>
                <w:sz w:val="18"/>
                <w:szCs w:val="18"/>
              </w:rPr>
              <w:t>ellátása</w:t>
            </w:r>
          </w:p>
        </w:tc>
        <w:tc>
          <w:tcPr>
            <w:tcW w:w="548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069" w:rsidRDefault="00FC3069" w:rsidP="00F51CA9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térítésmentes</w:t>
            </w:r>
          </w:p>
        </w:tc>
      </w:tr>
    </w:tbl>
    <w:p w:rsidR="00FC3069" w:rsidRDefault="00FC3069" w:rsidP="00FC3069"/>
    <w:p w:rsidR="00EC6F21" w:rsidRDefault="00EC6F21"/>
    <w:sectPr w:rsidR="00EC6F21" w:rsidSect="0021117A">
      <w:footerReference w:type="even" r:id="rId6"/>
      <w:footerReference w:type="default" r:id="rId7"/>
      <w:pgSz w:w="16838" w:h="11906" w:orient="landscape"/>
      <w:pgMar w:top="1134" w:right="1134" w:bottom="1134" w:left="1700" w:header="708" w:footer="1134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D" w:rsidRDefault="00FC3069">
    <w:pPr>
      <w:jc w:val="center"/>
      <w:rPr>
        <w:i/>
        <w:iCs/>
      </w:rPr>
    </w:pPr>
    <w:r>
      <w:rPr>
        <w:i/>
        <w:iCs/>
      </w:rPr>
      <w:t xml:space="preserve">-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D" w:rsidRDefault="00FC3069">
    <w:pPr>
      <w:jc w:val="center"/>
      <w:rPr>
        <w:i/>
        <w:iCs/>
      </w:rPr>
    </w:pPr>
    <w:r>
      <w:rPr>
        <w:i/>
        <w:iCs/>
      </w:rPr>
      <w:t xml:space="preserve">-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  <w:noProof/>
      </w:rPr>
      <w:t>2</w:t>
    </w:r>
    <w:r>
      <w:rPr>
        <w:i/>
        <w:iCs/>
      </w:rPr>
      <w:fldChar w:fldCharType="end"/>
    </w:r>
    <w:r>
      <w:rPr>
        <w:i/>
        <w:iCs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69"/>
    <w:rsid w:val="00EC6F21"/>
    <w:rsid w:val="00F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30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FC3069"/>
    <w:pPr>
      <w:suppressLineNumbers/>
    </w:pPr>
    <w:rPr>
      <w:rFonts w:eastAsia="Arial Unicode MS" w:cs="Mangal"/>
      <w:kern w:val="1"/>
      <w:lang w:bidi="hi-IN"/>
    </w:rPr>
  </w:style>
  <w:style w:type="paragraph" w:customStyle="1" w:styleId="Tblzatfejlc">
    <w:name w:val="Táblázatfejléc"/>
    <w:basedOn w:val="Tblzattartalom"/>
    <w:rsid w:val="00FC3069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30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FC3069"/>
    <w:pPr>
      <w:suppressLineNumbers/>
    </w:pPr>
    <w:rPr>
      <w:rFonts w:eastAsia="Arial Unicode MS" w:cs="Mangal"/>
      <w:kern w:val="1"/>
      <w:lang w:bidi="hi-IN"/>
    </w:rPr>
  </w:style>
  <w:style w:type="paragraph" w:customStyle="1" w:styleId="Tblzatfejlc">
    <w:name w:val="Táblázatfejléc"/>
    <w:basedOn w:val="Tblzattartalom"/>
    <w:rsid w:val="00FC306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Delibab</dc:creator>
  <cp:lastModifiedBy>Delibab</cp:lastModifiedBy>
  <cp:revision>1</cp:revision>
  <dcterms:created xsi:type="dcterms:W3CDTF">2015-11-09T09:03:00Z</dcterms:created>
  <dcterms:modified xsi:type="dcterms:W3CDTF">2015-11-09T09:05:00Z</dcterms:modified>
</cp:coreProperties>
</file>