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F57" w:rsidRPr="00D94F21" w:rsidRDefault="00FB7F57" w:rsidP="00FB7F57">
      <w:pPr>
        <w:pageBreakBefore/>
        <w:spacing w:after="120" w:line="276" w:lineRule="auto"/>
        <w:ind w:left="2832" w:firstLine="708"/>
        <w:rPr>
          <w:rFonts w:ascii="Calibri" w:hAnsi="Calibri"/>
          <w:b/>
          <w:bCs/>
        </w:rPr>
      </w:pPr>
      <w:r w:rsidRPr="00D94F21">
        <w:rPr>
          <w:rFonts w:ascii="Calibri" w:hAnsi="Calibri"/>
          <w:b/>
          <w:bCs/>
        </w:rPr>
        <w:t>ELŐZETES HATÁSVIZSGÁLAT</w:t>
      </w:r>
    </w:p>
    <w:p w:rsidR="00FB7F57" w:rsidRPr="00D94F21" w:rsidRDefault="00FB7F57" w:rsidP="00FB7F57">
      <w:pPr>
        <w:spacing w:after="120" w:line="276" w:lineRule="auto"/>
        <w:jc w:val="center"/>
        <w:rPr>
          <w:rFonts w:ascii="Calibri" w:hAnsi="Calibr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7"/>
        <w:gridCol w:w="199"/>
        <w:gridCol w:w="60"/>
        <w:gridCol w:w="1839"/>
        <w:gridCol w:w="744"/>
        <w:gridCol w:w="1367"/>
        <w:gridCol w:w="1410"/>
        <w:gridCol w:w="645"/>
        <w:gridCol w:w="1439"/>
      </w:tblGrid>
      <w:tr w:rsidR="00FB7F57" w:rsidRPr="00D94F21" w:rsidTr="00180C28">
        <w:trPr>
          <w:trHeight w:val="683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EC006A">
            <w:pPr>
              <w:spacing w:after="120"/>
              <w:rPr>
                <w:rFonts w:eastAsia="Times New Roman"/>
                <w:b/>
                <w:lang w:eastAsia="hu-HU"/>
              </w:rPr>
            </w:pPr>
            <w:r w:rsidRPr="00D94F21">
              <w:rPr>
                <w:rFonts w:eastAsia="Times New Roman"/>
                <w:b/>
                <w:lang w:eastAsia="hu-HU"/>
              </w:rPr>
              <w:t>Keszthely Város Önkormányzata Képviselő-testülete …/20</w:t>
            </w:r>
            <w:r w:rsidR="00340B0D">
              <w:rPr>
                <w:rFonts w:eastAsia="Times New Roman"/>
                <w:b/>
                <w:lang w:eastAsia="hu-HU"/>
              </w:rPr>
              <w:t>20</w:t>
            </w:r>
            <w:r w:rsidRPr="00D94F21">
              <w:rPr>
                <w:rFonts w:eastAsia="Times New Roman"/>
                <w:b/>
                <w:lang w:eastAsia="hu-HU"/>
              </w:rPr>
              <w:t>. (...)</w:t>
            </w:r>
            <w:r w:rsidRPr="00D94F21">
              <w:rPr>
                <w:rFonts w:eastAsia="Times New Roman"/>
                <w:lang w:eastAsia="hu-HU"/>
              </w:rPr>
              <w:t xml:space="preserve"> </w:t>
            </w:r>
            <w:r w:rsidRPr="00D94F21">
              <w:rPr>
                <w:rFonts w:eastAsia="Times New Roman"/>
                <w:b/>
                <w:lang w:eastAsia="hu-HU"/>
              </w:rPr>
              <w:t>önkormányzati rendelete az</w:t>
            </w:r>
            <w:r w:rsidRPr="00D94F21">
              <w:rPr>
                <w:rFonts w:eastAsia="Times New Roman"/>
                <w:lang w:eastAsia="hu-HU"/>
              </w:rPr>
              <w:t xml:space="preserve"> </w:t>
            </w:r>
            <w:r w:rsidRPr="00D94F21">
              <w:rPr>
                <w:rFonts w:eastAsia="Times New Roman"/>
                <w:b/>
                <w:lang w:eastAsia="hu-HU"/>
              </w:rPr>
              <w:t xml:space="preserve">önkormányzat törzsvagyonának átminősítéséről szóló 39/2013. (X. 31.) önkormányzati rendelet módosításáról </w:t>
            </w:r>
          </w:p>
        </w:tc>
      </w:tr>
      <w:tr w:rsidR="00FB7F57" w:rsidRPr="00D94F21" w:rsidTr="00180C28">
        <w:trPr>
          <w:trHeight w:val="440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center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Rendelet-tervezet valamennyi jelentős hatása, különösen a</w:t>
            </w:r>
          </w:p>
        </w:tc>
      </w:tr>
      <w:tr w:rsidR="00FB7F57" w:rsidRPr="00D94F21" w:rsidTr="00180C28">
        <w:trPr>
          <w:trHeight w:val="143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Egyéb hatás</w:t>
            </w:r>
          </w:p>
        </w:tc>
      </w:tr>
      <w:tr w:rsidR="00FB7F57" w:rsidRPr="00D94F21" w:rsidTr="00180C28">
        <w:trPr>
          <w:trHeight w:val="1134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38668F" w:rsidP="00180C28">
            <w:pPr>
              <w:spacing w:after="200"/>
              <w:rPr>
                <w:rFonts w:cs="Book Antiqua"/>
              </w:rPr>
            </w:pPr>
            <w:r>
              <w:rPr>
                <w:rFonts w:cs="Book Antiqua"/>
              </w:rPr>
              <w:t>Nincs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</w:tr>
      <w:tr w:rsidR="00FB7F57" w:rsidRPr="00D94F21" w:rsidTr="00180C28">
        <w:trPr>
          <w:trHeight w:val="52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202A67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  <w:b/>
                <w:bCs/>
              </w:rPr>
              <w:t xml:space="preserve">A rendelet megalkotása szükséges, mert: </w:t>
            </w:r>
            <w:r w:rsidRPr="00D94F21">
              <w:rPr>
                <w:rFonts w:cs="Book Antiqua"/>
                <w:bCs/>
              </w:rPr>
              <w:t xml:space="preserve">az átsorolandó terület </w:t>
            </w:r>
            <w:r w:rsidR="00340B0D">
              <w:rPr>
                <w:rFonts w:cs="Book Antiqua"/>
                <w:bCs/>
              </w:rPr>
              <w:t xml:space="preserve">telekhatár </w:t>
            </w:r>
            <w:proofErr w:type="gramStart"/>
            <w:r w:rsidR="00340B0D">
              <w:rPr>
                <w:rFonts w:cs="Book Antiqua"/>
                <w:bCs/>
              </w:rPr>
              <w:t xml:space="preserve">rendezése </w:t>
            </w:r>
            <w:r w:rsidRPr="00D94F21">
              <w:rPr>
                <w:rFonts w:cs="Book Antiqua"/>
                <w:bCs/>
              </w:rPr>
              <w:t xml:space="preserve"> csak</w:t>
            </w:r>
            <w:proofErr w:type="gramEnd"/>
            <w:r w:rsidRPr="00D94F21">
              <w:rPr>
                <w:rFonts w:cs="Book Antiqua"/>
                <w:bCs/>
              </w:rPr>
              <w:t xml:space="preserve"> a rendelet módosításával lehetséges.</w:t>
            </w:r>
          </w:p>
        </w:tc>
      </w:tr>
      <w:tr w:rsidR="00FB7F57" w:rsidRPr="00D94F21" w:rsidTr="00180C28">
        <w:trPr>
          <w:trHeight w:val="539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38668F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  <w:b/>
                <w:bCs/>
              </w:rPr>
              <w:t xml:space="preserve">A rendelet megalkotásának elmaradása esetén várható következmények: </w:t>
            </w:r>
            <w:r w:rsidR="0038668F">
              <w:rPr>
                <w:rFonts w:cs="Book Antiqua"/>
                <w:bCs/>
              </w:rPr>
              <w:t>fejlesztés akadályozása/elmaradása</w:t>
            </w:r>
            <w:r w:rsidR="00202A67">
              <w:rPr>
                <w:rFonts w:cs="Book Antiqua"/>
                <w:bCs/>
              </w:rPr>
              <w:t>.</w:t>
            </w:r>
          </w:p>
        </w:tc>
      </w:tr>
      <w:tr w:rsidR="00FB7F57" w:rsidRPr="00D94F21" w:rsidTr="00180C28">
        <w:trPr>
          <w:trHeight w:val="43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A rendelet alkalmazásához szükséges feltételek:</w:t>
            </w:r>
          </w:p>
        </w:tc>
      </w:tr>
      <w:tr w:rsidR="00FB7F57" w:rsidRPr="00D94F21" w:rsidTr="00180C28">
        <w:trPr>
          <w:trHeight w:val="404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Pénzügyi</w:t>
            </w:r>
          </w:p>
        </w:tc>
      </w:tr>
      <w:tr w:rsidR="00FB7F57" w:rsidRPr="00D94F21" w:rsidTr="00180C28">
        <w:trPr>
          <w:trHeight w:val="2141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személyi feltételeket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A jelenlegi szervezeti struktúrában a szükséges feltételek biztosítottak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tárgyi erőforrásokat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F57" w:rsidRPr="00D94F21" w:rsidRDefault="00FB7F57" w:rsidP="00180C28">
            <w:pPr>
              <w:spacing w:after="200"/>
              <w:jc w:val="left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pénzügyi erőforrásokat.</w:t>
            </w:r>
          </w:p>
        </w:tc>
      </w:tr>
    </w:tbl>
    <w:p w:rsidR="00FB7F57" w:rsidRPr="00D94F21" w:rsidRDefault="00FB7F57" w:rsidP="00FB7F57">
      <w:pPr>
        <w:tabs>
          <w:tab w:val="center" w:pos="6521"/>
        </w:tabs>
      </w:pPr>
    </w:p>
    <w:p w:rsidR="00FB7F57" w:rsidRPr="00D94F21" w:rsidRDefault="00FB7F57" w:rsidP="00FB7F57"/>
    <w:p w:rsidR="0021750A" w:rsidRDefault="0021750A">
      <w:pPr>
        <w:spacing w:after="160" w:line="259" w:lineRule="auto"/>
        <w:jc w:val="left"/>
      </w:pPr>
      <w:r>
        <w:br w:type="page"/>
      </w:r>
    </w:p>
    <w:p w:rsidR="0021750A" w:rsidRDefault="0021750A" w:rsidP="0021750A">
      <w:pPr>
        <w:jc w:val="center"/>
        <w:rPr>
          <w:rFonts w:eastAsia="Times New Roman"/>
          <w:b/>
          <w:lang w:eastAsia="ar-SA"/>
        </w:rPr>
      </w:pPr>
      <w:r w:rsidRPr="0021750A">
        <w:rPr>
          <w:rFonts w:eastAsia="Times New Roman"/>
          <w:b/>
          <w:lang w:eastAsia="ar-SA"/>
        </w:rPr>
        <w:lastRenderedPageBreak/>
        <w:t>INDOKOLÁS</w:t>
      </w:r>
    </w:p>
    <w:p w:rsidR="0021750A" w:rsidRPr="0021750A" w:rsidRDefault="0021750A" w:rsidP="0021750A">
      <w:pPr>
        <w:jc w:val="center"/>
        <w:rPr>
          <w:rFonts w:eastAsia="Times New Roman"/>
          <w:b/>
          <w:lang w:eastAsia="ar-SA"/>
        </w:rPr>
      </w:pPr>
    </w:p>
    <w:p w:rsidR="0021750A" w:rsidRPr="0021750A" w:rsidRDefault="0021750A" w:rsidP="0021750A">
      <w:pPr>
        <w:jc w:val="center"/>
        <w:rPr>
          <w:rFonts w:eastAsia="Times New Roman"/>
          <w:b/>
          <w:bCs/>
          <w:lang w:eastAsia="ar-SA"/>
        </w:rPr>
      </w:pPr>
      <w:r w:rsidRPr="0021750A">
        <w:rPr>
          <w:rFonts w:eastAsia="Times New Roman"/>
          <w:b/>
          <w:bCs/>
          <w:lang w:eastAsia="ar-SA"/>
        </w:rPr>
        <w:t>Keszthely Város Önkormányzata Képviselő-testülete</w:t>
      </w:r>
    </w:p>
    <w:p w:rsidR="0021750A" w:rsidRPr="0021750A" w:rsidRDefault="0021750A" w:rsidP="0021750A">
      <w:pPr>
        <w:jc w:val="center"/>
        <w:rPr>
          <w:rFonts w:eastAsia="Times New Roman"/>
          <w:b/>
          <w:bCs/>
          <w:lang w:eastAsia="ar-SA"/>
        </w:rPr>
      </w:pPr>
      <w:r w:rsidRPr="0021750A">
        <w:rPr>
          <w:rFonts w:eastAsia="Times New Roman"/>
          <w:b/>
          <w:bCs/>
          <w:lang w:eastAsia="ar-SA"/>
        </w:rPr>
        <w:t>önkormányzati rendelete</w:t>
      </w:r>
    </w:p>
    <w:p w:rsidR="0021750A" w:rsidRPr="0021750A" w:rsidRDefault="0021750A" w:rsidP="0021750A">
      <w:pPr>
        <w:jc w:val="center"/>
        <w:rPr>
          <w:rFonts w:eastAsia="Times New Roman"/>
          <w:b/>
          <w:bCs/>
          <w:lang w:eastAsia="ar-SA"/>
        </w:rPr>
      </w:pPr>
      <w:r w:rsidRPr="0021750A">
        <w:rPr>
          <w:rFonts w:eastAsia="Times New Roman"/>
          <w:b/>
          <w:bCs/>
          <w:lang w:eastAsia="ar-SA"/>
        </w:rPr>
        <w:t xml:space="preserve">az önkormányzat törzsvagyonának átminősítéséről szóló </w:t>
      </w:r>
    </w:p>
    <w:p w:rsidR="0021750A" w:rsidRPr="0021750A" w:rsidRDefault="0021750A" w:rsidP="0021750A">
      <w:pPr>
        <w:jc w:val="center"/>
        <w:rPr>
          <w:rFonts w:eastAsia="Times New Roman"/>
          <w:b/>
          <w:bCs/>
          <w:lang w:eastAsia="ar-SA"/>
        </w:rPr>
      </w:pPr>
      <w:r w:rsidRPr="0021750A">
        <w:rPr>
          <w:rFonts w:eastAsia="Times New Roman"/>
          <w:b/>
          <w:bCs/>
          <w:lang w:eastAsia="ar-SA"/>
        </w:rPr>
        <w:t xml:space="preserve">39/2013. (X. 31.) önkormányzati rendelet </w:t>
      </w:r>
    </w:p>
    <w:p w:rsidR="0021750A" w:rsidRDefault="0021750A" w:rsidP="0021750A">
      <w:pPr>
        <w:jc w:val="center"/>
        <w:rPr>
          <w:rFonts w:eastAsia="Times New Roman"/>
          <w:b/>
          <w:bCs/>
          <w:lang w:eastAsia="ar-SA"/>
        </w:rPr>
      </w:pPr>
      <w:r w:rsidRPr="0021750A">
        <w:rPr>
          <w:rFonts w:eastAsia="Times New Roman"/>
          <w:b/>
          <w:bCs/>
          <w:lang w:eastAsia="ar-SA"/>
        </w:rPr>
        <w:t>módosításáról</w:t>
      </w:r>
    </w:p>
    <w:p w:rsidR="0021750A" w:rsidRDefault="0021750A" w:rsidP="0021750A">
      <w:pPr>
        <w:jc w:val="center"/>
        <w:rPr>
          <w:rFonts w:eastAsia="Times New Roman"/>
          <w:b/>
          <w:bCs/>
          <w:lang w:eastAsia="ar-SA"/>
        </w:rPr>
      </w:pPr>
    </w:p>
    <w:p w:rsidR="0021750A" w:rsidRPr="0021750A" w:rsidRDefault="0021750A" w:rsidP="0021750A">
      <w:pPr>
        <w:jc w:val="left"/>
        <w:rPr>
          <w:rFonts w:eastAsia="Times New Roman"/>
          <w:b/>
          <w:lang w:eastAsia="ar-SA"/>
        </w:rPr>
      </w:pPr>
    </w:p>
    <w:p w:rsidR="0021750A" w:rsidRPr="00905D7F" w:rsidRDefault="0021750A" w:rsidP="00905D7F">
      <w:pPr>
        <w:pStyle w:val="Listaszerbekezds"/>
        <w:numPr>
          <w:ilvl w:val="0"/>
          <w:numId w:val="1"/>
        </w:numPr>
        <w:jc w:val="left"/>
        <w:rPr>
          <w:rFonts w:eastAsia="Times New Roman"/>
          <w:b/>
          <w:lang w:eastAsia="ar-SA"/>
        </w:rPr>
      </w:pPr>
      <w:r w:rsidRPr="00905D7F">
        <w:rPr>
          <w:rFonts w:eastAsia="Times New Roman"/>
          <w:b/>
          <w:lang w:eastAsia="ar-SA"/>
        </w:rPr>
        <w:t>§</w:t>
      </w:r>
      <w:r w:rsidR="00905D7F">
        <w:rPr>
          <w:rFonts w:eastAsia="Times New Roman"/>
          <w:b/>
          <w:lang w:eastAsia="ar-SA"/>
        </w:rPr>
        <w:t xml:space="preserve"> - </w:t>
      </w:r>
      <w:r w:rsidRPr="00905D7F">
        <w:rPr>
          <w:rFonts w:eastAsia="Times New Roman"/>
          <w:b/>
          <w:lang w:eastAsia="ar-SA"/>
        </w:rPr>
        <w:t>hoz</w:t>
      </w:r>
    </w:p>
    <w:p w:rsidR="00905D7F" w:rsidRDefault="00905D7F" w:rsidP="00905D7F">
      <w:pPr>
        <w:jc w:val="left"/>
        <w:rPr>
          <w:rFonts w:eastAsia="Times New Roman"/>
          <w:b/>
          <w:lang w:eastAsia="ar-SA"/>
        </w:rPr>
      </w:pPr>
    </w:p>
    <w:p w:rsidR="0021750A" w:rsidRDefault="0021750A" w:rsidP="0021750A"/>
    <w:p w:rsidR="0021750A" w:rsidRPr="0021750A" w:rsidRDefault="0021750A" w:rsidP="0021750A">
      <w:pPr>
        <w:rPr>
          <w:rFonts w:eastAsia="Times New Roman"/>
          <w:lang w:eastAsia="ar-SA"/>
        </w:rPr>
      </w:pPr>
      <w:r>
        <w:t xml:space="preserve">A rendelet 1. § (2) bekezdése kiegészül egy további alponttal, ugyanis </w:t>
      </w:r>
      <w:r w:rsidRPr="0021750A">
        <w:t xml:space="preserve">a Keszthely </w:t>
      </w:r>
      <w:r w:rsidR="00340B0D">
        <w:t>1052</w:t>
      </w:r>
      <w:r w:rsidRPr="0021750A">
        <w:t xml:space="preserve"> helyrajzi számú </w:t>
      </w:r>
      <w:r>
        <w:t xml:space="preserve">„kivett </w:t>
      </w:r>
      <w:r w:rsidRPr="0021750A">
        <w:t>közterület</w:t>
      </w:r>
      <w:r>
        <w:t>”</w:t>
      </w:r>
      <w:r w:rsidRPr="0021750A">
        <w:t xml:space="preserve"> megjelölésű ingatlan</w:t>
      </w:r>
      <w:r w:rsidR="00340B0D">
        <w:t xml:space="preserve"> telekhatár rendezéséhez</w:t>
      </w:r>
      <w:r w:rsidRPr="0021750A">
        <w:t xml:space="preserve"> a forgalomképes va</w:t>
      </w:r>
      <w:r>
        <w:t>gyoni körbe történő átminősítés</w:t>
      </w:r>
      <w:r w:rsidRPr="0021750A">
        <w:t xml:space="preserve"> szükséges</w:t>
      </w:r>
      <w:r>
        <w:t>.</w:t>
      </w:r>
    </w:p>
    <w:p w:rsidR="00462C48" w:rsidRDefault="00462C48"/>
    <w:p w:rsidR="00905D7F" w:rsidRDefault="00905D7F"/>
    <w:p w:rsidR="00905D7F" w:rsidRDefault="00905D7F" w:rsidP="00905D7F">
      <w:pPr>
        <w:pStyle w:val="Listaszerbekezds"/>
        <w:numPr>
          <w:ilvl w:val="0"/>
          <w:numId w:val="1"/>
        </w:numPr>
      </w:pPr>
      <w:r>
        <w:t xml:space="preserve">§ </w:t>
      </w:r>
    </w:p>
    <w:p w:rsidR="00905D7F" w:rsidRDefault="00905D7F" w:rsidP="00905D7F"/>
    <w:p w:rsidR="00905D7F" w:rsidRDefault="00905D7F" w:rsidP="00905D7F">
      <w:r>
        <w:t>A Záró rendelkezések között a hatályba léptetésről rendelkezik.</w:t>
      </w:r>
    </w:p>
    <w:sectPr w:rsidR="00905D7F" w:rsidSect="0021750A">
      <w:footerReference w:type="default" r:id="rId7"/>
      <w:pgSz w:w="11906" w:h="16838" w:code="9"/>
      <w:pgMar w:top="1560" w:right="1134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2938" w:rsidRDefault="00202A67">
      <w:r>
        <w:separator/>
      </w:r>
    </w:p>
  </w:endnote>
  <w:endnote w:type="continuationSeparator" w:id="0">
    <w:p w:rsidR="003F2938" w:rsidRDefault="0020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3AF7" w:rsidRDefault="00FB7F57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5D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2938" w:rsidRDefault="00202A67">
      <w:r>
        <w:separator/>
      </w:r>
    </w:p>
  </w:footnote>
  <w:footnote w:type="continuationSeparator" w:id="0">
    <w:p w:rsidR="003F2938" w:rsidRDefault="0020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C450E"/>
    <w:multiLevelType w:val="hybridMultilevel"/>
    <w:tmpl w:val="262001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57"/>
    <w:rsid w:val="00202A67"/>
    <w:rsid w:val="0021750A"/>
    <w:rsid w:val="00340B0D"/>
    <w:rsid w:val="0038668F"/>
    <w:rsid w:val="003F2938"/>
    <w:rsid w:val="00462C48"/>
    <w:rsid w:val="00520E0E"/>
    <w:rsid w:val="00905D7F"/>
    <w:rsid w:val="00E14219"/>
    <w:rsid w:val="00EC006A"/>
    <w:rsid w:val="00F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CA98"/>
  <w15:chartTrackingRefBased/>
  <w15:docId w15:val="{F02E0585-CC7C-4165-8C48-8D021AC0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F57"/>
    <w:pPr>
      <w:spacing w:after="0" w:line="240" w:lineRule="auto"/>
      <w:jc w:val="both"/>
    </w:pPr>
    <w:rPr>
      <w:rFonts w:ascii="Book Antiqua" w:eastAsia="Calibri" w:hAnsi="Book Antiqua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unhideWhenUsed/>
    <w:rsid w:val="00FB7F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FB7F57"/>
    <w:rPr>
      <w:rFonts w:ascii="Book Antiqua" w:eastAsia="Calibri" w:hAnsi="Book Antiqua" w:cs="Times New Roman"/>
    </w:rPr>
  </w:style>
  <w:style w:type="paragraph" w:styleId="Listaszerbekezds">
    <w:name w:val="List Paragraph"/>
    <w:basedOn w:val="Norml"/>
    <w:uiPriority w:val="34"/>
    <w:qFormat/>
    <w:rsid w:val="0090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Dr. Skoda Lilla</cp:lastModifiedBy>
  <cp:revision>2</cp:revision>
  <cp:lastPrinted>2020-07-15T09:04:00Z</cp:lastPrinted>
  <dcterms:created xsi:type="dcterms:W3CDTF">2020-07-15T09:04:00Z</dcterms:created>
  <dcterms:modified xsi:type="dcterms:W3CDTF">2020-07-15T09:04:00Z</dcterms:modified>
</cp:coreProperties>
</file>