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DA" w:rsidRPr="00461E89" w:rsidRDefault="00DA2FDA" w:rsidP="00DA2FDA">
      <w:pPr>
        <w:pStyle w:val="Cmsor1"/>
        <w:spacing w:before="0" w:line="360" w:lineRule="auto"/>
        <w:jc w:val="right"/>
        <w:rPr>
          <w:rFonts w:ascii="Trebuchet MS" w:hAnsi="Trebuchet MS"/>
          <w:caps/>
        </w:rPr>
      </w:pPr>
      <w:bookmarkStart w:id="0" w:name="_Toc228601391"/>
      <w:r w:rsidRPr="00461E89">
        <w:rPr>
          <w:rFonts w:ascii="Trebuchet MS" w:hAnsi="Trebuchet MS"/>
          <w:caps/>
        </w:rPr>
        <w:t>MELLÉKLETEK</w:t>
      </w:r>
      <w:bookmarkEnd w:id="0"/>
    </w:p>
    <w:p w:rsidR="00DA2FDA" w:rsidRPr="00A502C0" w:rsidRDefault="00DA2FDA" w:rsidP="00DA2FDA">
      <w:pPr>
        <w:pStyle w:val="Cmsor3"/>
        <w:jc w:val="center"/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</w:pPr>
      <w:bookmarkStart w:id="1" w:name="_Toc228601392"/>
      <w:r w:rsidRPr="003239F6">
        <w:rPr>
          <w:rStyle w:val="Cmsor2Char"/>
          <w:rFonts w:ascii="Trebuchet MS" w:hAnsi="Trebuchet MS"/>
          <w:i/>
          <w:iCs/>
          <w:caps/>
          <w:sz w:val="24"/>
        </w:rPr>
        <w:t>1. sz. melléklet</w:t>
      </w:r>
      <w:r w:rsidRPr="003239F6">
        <w:rPr>
          <w:rStyle w:val="Cmsor2Char"/>
          <w:rFonts w:ascii="Trebuchet MS" w:hAnsi="Trebuchet MS"/>
          <w:i/>
          <w:iCs/>
          <w:caps/>
          <w:sz w:val="24"/>
        </w:rPr>
        <w:br/>
      </w:r>
      <w:r w:rsidRPr="00A502C0"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  <w:t>Fogalommagyarázat</w:t>
      </w:r>
      <w:bookmarkEnd w:id="1"/>
    </w:p>
    <w:p w:rsidR="00DA2FDA" w:rsidRPr="00A502C0" w:rsidRDefault="00DA2FDA" w:rsidP="00DA2FDA">
      <w:pPr>
        <w:rPr>
          <w:rFonts w:ascii="Trebuchet MS" w:hAnsi="Trebuchet MS"/>
        </w:rPr>
      </w:pPr>
    </w:p>
    <w:p w:rsidR="00DA2FDA" w:rsidRPr="00A502C0" w:rsidRDefault="00DA2FDA" w:rsidP="00DA2FDA">
      <w:pPr>
        <w:pStyle w:val="viChar"/>
      </w:pPr>
      <w:r w:rsidRPr="00A502C0">
        <w:t xml:space="preserve">E rendelet alkalmazásában: </w:t>
      </w:r>
      <w:r w:rsidRPr="00A502C0">
        <w:tab/>
        <w:t xml:space="preserve"> </w:t>
      </w:r>
    </w:p>
    <w:p w:rsidR="00DA2FDA" w:rsidRPr="00A502C0" w:rsidRDefault="00DA2FDA" w:rsidP="00DA2FDA">
      <w:pPr>
        <w:pStyle w:val="viChar"/>
      </w:pPr>
    </w:p>
    <w:p w:rsidR="00DA2FDA" w:rsidRPr="00A502C0" w:rsidRDefault="00DA2FDA" w:rsidP="00DA2FDA">
      <w:pPr>
        <w:rPr>
          <w:rFonts w:ascii="Trebuchet MS" w:hAnsi="Trebuchet MS"/>
        </w:rPr>
      </w:pP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 w:cs="Arial"/>
          <w:sz w:val="20"/>
        </w:rPr>
      </w:pPr>
      <w:r w:rsidRPr="00A502C0">
        <w:rPr>
          <w:rFonts w:ascii="Trebuchet MS" w:hAnsi="Trebuchet MS" w:cs="Tahoma"/>
          <w:b/>
          <w:sz w:val="20"/>
        </w:rPr>
        <w:t>Alternatív szennyvíztisztító technológia</w:t>
      </w:r>
      <w:r w:rsidRPr="00A502C0">
        <w:rPr>
          <w:rFonts w:ascii="Trebuchet MS" w:hAnsi="Trebuchet MS" w:cs="Tahoma"/>
          <w:sz w:val="20"/>
        </w:rPr>
        <w:t xml:space="preserve">: </w:t>
      </w:r>
      <w:r w:rsidRPr="00A502C0">
        <w:rPr>
          <w:rFonts w:ascii="Trebuchet MS" w:hAnsi="Trebuchet MS" w:cs="Arial"/>
          <w:sz w:val="20"/>
        </w:rPr>
        <w:t>olyan szennyvízkezelési technológia, amely a települési szennyvizek nem közműves elvezetésére-tisztítására és elhelyezésére szolgál, a közműves szennyvízelvezetéssel-és tisztítással egyenértékű környezetvédelmi megoldást biztosít. A szennyvizek tisztítása biológiai módszerekkel történik.</w:t>
      </w:r>
    </w:p>
    <w:p w:rsidR="00DA2FDA" w:rsidRPr="00A502C0" w:rsidRDefault="00DA2FDA" w:rsidP="00DA2FDA">
      <w:pPr>
        <w:pStyle w:val="viChar"/>
        <w:tabs>
          <w:tab w:val="left" w:pos="720"/>
        </w:tabs>
        <w:ind w:left="720" w:right="-3" w:hanging="360"/>
        <w:rPr>
          <w:iCs/>
          <w:szCs w:val="20"/>
        </w:rPr>
      </w:pPr>
      <w:r w:rsidRPr="00A502C0">
        <w:rPr>
          <w:b/>
          <w:bCs/>
          <w:iCs/>
          <w:szCs w:val="20"/>
        </w:rPr>
        <w:t xml:space="preserve">Beépítettség: </w:t>
      </w:r>
      <w:r w:rsidRPr="00A502C0">
        <w:rPr>
          <w:iCs/>
          <w:szCs w:val="20"/>
        </w:rPr>
        <w:t>a bruttó földszinti alapterület és a telekterület hányadosa</w:t>
      </w:r>
    </w:p>
    <w:p w:rsidR="00DA2FDA" w:rsidRPr="00A502C0" w:rsidRDefault="00DA2FDA" w:rsidP="00DA2FDA">
      <w:pPr>
        <w:pStyle w:val="viChar"/>
        <w:tabs>
          <w:tab w:val="left" w:pos="720"/>
        </w:tabs>
        <w:ind w:left="720" w:right="-3" w:hanging="360"/>
        <w:rPr>
          <w:szCs w:val="20"/>
        </w:rPr>
      </w:pPr>
      <w:r w:rsidRPr="00A502C0">
        <w:rPr>
          <w:b/>
          <w:szCs w:val="20"/>
        </w:rPr>
        <w:t>Birtokközpont:</w:t>
      </w:r>
      <w:r w:rsidRPr="00A502C0">
        <w:rPr>
          <w:szCs w:val="20"/>
        </w:rPr>
        <w:t xml:space="preserve"> A mezőgazdasági területen több önálló telekből az 1. számú melléklet 55/</w:t>
      </w:r>
      <w:proofErr w:type="gramStart"/>
      <w:r w:rsidRPr="00A502C0">
        <w:rPr>
          <w:szCs w:val="20"/>
        </w:rPr>
        <w:t>A</w:t>
      </w:r>
      <w:proofErr w:type="gramEnd"/>
      <w:r w:rsidRPr="00A502C0">
        <w:rPr>
          <w:szCs w:val="20"/>
        </w:rPr>
        <w:t xml:space="preserve">. pontja szerinti birtoktest alakítható ki. A birtoktest esetében a 3%-os beépíthetőség a birtoktesthez tartozó összes telek területe után számítva csak az egyik telken is kihasználható (birtok-központ), ha a telek területe legalább a 10 000 m2-t eléri és a beépítés a szomszédos telkek rendeltetésszerű használatára </w:t>
      </w:r>
      <w:proofErr w:type="gramStart"/>
      <w:r w:rsidRPr="00A502C0">
        <w:rPr>
          <w:szCs w:val="20"/>
        </w:rPr>
        <w:t>nincs</w:t>
      </w:r>
      <w:proofErr w:type="gramEnd"/>
      <w:r w:rsidRPr="00A502C0">
        <w:rPr>
          <w:szCs w:val="20"/>
        </w:rPr>
        <w:t xml:space="preserve"> korlátozó hatással illetőleg azt nem veszélyezteti. A birtok-központ telkén a beépítettség a 45%-ot nem haladhatja meg.</w:t>
      </w:r>
    </w:p>
    <w:p w:rsidR="00DA2FDA" w:rsidRPr="00A502C0" w:rsidRDefault="00DA2FDA" w:rsidP="00DA2FDA">
      <w:pPr>
        <w:pStyle w:val="viChar"/>
        <w:tabs>
          <w:tab w:val="left" w:pos="720"/>
        </w:tabs>
        <w:ind w:left="720" w:right="-3" w:hanging="360"/>
        <w:rPr>
          <w:szCs w:val="20"/>
        </w:rPr>
      </w:pPr>
      <w:r w:rsidRPr="00A502C0">
        <w:rPr>
          <w:b/>
          <w:bCs/>
          <w:szCs w:val="20"/>
        </w:rPr>
        <w:t>Rendezett telek:</w:t>
      </w:r>
      <w:r w:rsidRPr="00A502C0">
        <w:rPr>
          <w:szCs w:val="20"/>
        </w:rPr>
        <w:t xml:space="preserve"> rendezettnek tekinthető egy telek, ha a Szabályozási tervekben előírt telekalakítási eljárást (közterület céljára való területlejegyzés) maradéktalanul elvégezték, s azt végrehajtották (kerítésáthelyezés, épületbontás,)</w:t>
      </w:r>
    </w:p>
    <w:p w:rsidR="00DA2FDA" w:rsidRPr="00A502C0" w:rsidRDefault="00DA2FDA" w:rsidP="00DA2FDA">
      <w:pPr>
        <w:pStyle w:val="Lista21"/>
        <w:tabs>
          <w:tab w:val="left" w:pos="720"/>
        </w:tabs>
        <w:ind w:left="720" w:right="-3" w:hanging="360"/>
        <w:jc w:val="both"/>
        <w:rPr>
          <w:rFonts w:ascii="Trebuchet MS" w:hAnsi="Trebuchet MS"/>
          <w:iCs/>
          <w:sz w:val="20"/>
        </w:rPr>
      </w:pPr>
      <w:r w:rsidRPr="00A502C0">
        <w:rPr>
          <w:rFonts w:ascii="Trebuchet MS" w:hAnsi="Trebuchet MS"/>
          <w:b/>
          <w:iCs/>
          <w:sz w:val="20"/>
        </w:rPr>
        <w:t>Építési határvonal:</w:t>
      </w:r>
      <w:r w:rsidRPr="00A502C0">
        <w:rPr>
          <w:rFonts w:ascii="Trebuchet MS" w:hAnsi="Trebuchet MS"/>
          <w:iCs/>
          <w:sz w:val="20"/>
        </w:rPr>
        <w:t xml:space="preserve"> a telek előkertjét, oldalkertjét és hátsókertjét meghatározó vonalak. </w:t>
      </w:r>
    </w:p>
    <w:p w:rsidR="00DA2FDA" w:rsidRPr="00A502C0" w:rsidRDefault="00DA2FDA" w:rsidP="00DA2FDA">
      <w:pPr>
        <w:pStyle w:val="Lista21"/>
        <w:tabs>
          <w:tab w:val="left" w:pos="720"/>
        </w:tabs>
        <w:ind w:left="720" w:right="-3" w:hanging="360"/>
        <w:jc w:val="both"/>
        <w:rPr>
          <w:rFonts w:ascii="Trebuchet MS" w:hAnsi="Trebuchet MS"/>
          <w:iCs/>
          <w:sz w:val="20"/>
        </w:rPr>
      </w:pPr>
      <w:r w:rsidRPr="00A502C0">
        <w:rPr>
          <w:rFonts w:ascii="Trebuchet MS" w:hAnsi="Trebuchet MS"/>
          <w:b/>
          <w:iCs/>
          <w:sz w:val="20"/>
        </w:rPr>
        <w:t>Építési hely (telek beépíthető része):</w:t>
      </w:r>
      <w:r w:rsidRPr="00A502C0">
        <w:rPr>
          <w:rFonts w:ascii="Trebuchet MS" w:hAnsi="Trebuchet MS"/>
          <w:iCs/>
          <w:sz w:val="20"/>
        </w:rPr>
        <w:t xml:space="preserve"> az építési teleknek az elő-, oldal- és hátsókerti építési határvonalai által körülhatárolt területrésze, amelyen - a védőtávolságok megtartásával - az övezeti előírások szerinti telekbeépítettség mértékéig az </w:t>
      </w:r>
      <w:proofErr w:type="gramStart"/>
      <w:r w:rsidRPr="00A502C0">
        <w:rPr>
          <w:rFonts w:ascii="Trebuchet MS" w:hAnsi="Trebuchet MS"/>
          <w:iCs/>
          <w:sz w:val="20"/>
        </w:rPr>
        <w:t>épület(</w:t>
      </w:r>
      <w:proofErr w:type="spellStart"/>
      <w:proofErr w:type="gramEnd"/>
      <w:r w:rsidRPr="00A502C0">
        <w:rPr>
          <w:rFonts w:ascii="Trebuchet MS" w:hAnsi="Trebuchet MS"/>
          <w:iCs/>
          <w:sz w:val="20"/>
        </w:rPr>
        <w:t>ek</w:t>
      </w:r>
      <w:proofErr w:type="spellEnd"/>
      <w:r w:rsidRPr="00A502C0">
        <w:rPr>
          <w:rFonts w:ascii="Trebuchet MS" w:hAnsi="Trebuchet MS"/>
          <w:iCs/>
          <w:sz w:val="20"/>
        </w:rPr>
        <w:t xml:space="preserve">) elhelyezhető(k). </w:t>
      </w:r>
    </w:p>
    <w:p w:rsidR="00DA2FDA" w:rsidRDefault="00DA2FDA" w:rsidP="00DA2FDA">
      <w:pPr>
        <w:pStyle w:val="Lista21"/>
        <w:tabs>
          <w:tab w:val="left" w:pos="720"/>
        </w:tabs>
        <w:ind w:left="720" w:right="-3" w:hanging="36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b/>
          <w:bCs/>
          <w:sz w:val="20"/>
        </w:rPr>
        <w:t>Építési vonal:</w:t>
      </w:r>
      <w:r w:rsidRPr="00A502C0">
        <w:rPr>
          <w:rFonts w:ascii="Trebuchet MS" w:hAnsi="Trebuchet MS"/>
          <w:sz w:val="20"/>
        </w:rPr>
        <w:t xml:space="preserve"> az a hely, ahová az épület homlokvonala kerül, az előkertre vonatkozó előírások betartásával.</w:t>
      </w:r>
    </w:p>
    <w:p w:rsidR="00DA2FDA" w:rsidRPr="00A502C0" w:rsidRDefault="00DA2FDA" w:rsidP="00DA2FDA">
      <w:pPr>
        <w:pStyle w:val="Lista21"/>
        <w:tabs>
          <w:tab w:val="left" w:pos="720"/>
        </w:tabs>
        <w:ind w:left="720" w:right="-3" w:hanging="360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b/>
          <w:bCs/>
          <w:sz w:val="20"/>
        </w:rPr>
        <w:t>Építménymagasság:</w:t>
      </w:r>
      <w:r>
        <w:rPr>
          <w:rStyle w:val="Lbjegyzet-hivatkozs"/>
          <w:rFonts w:ascii="Trebuchet MS" w:hAnsi="Trebuchet MS"/>
          <w:b/>
          <w:bCs/>
          <w:sz w:val="20"/>
        </w:rPr>
        <w:footnoteReference w:id="1"/>
      </w:r>
      <w:r>
        <w:rPr>
          <w:rFonts w:ascii="Trebuchet MS" w:hAnsi="Trebuchet MS"/>
          <w:sz w:val="20"/>
        </w:rPr>
        <w:t xml:space="preserve"> az építmény valamennyi, a telek beépítettsége meghatározásánál figyelembe veendő építmény kontúrvonalára állított függőleges felületre vetített </w:t>
      </w:r>
      <w:proofErr w:type="spellStart"/>
      <w:r>
        <w:rPr>
          <w:rFonts w:ascii="Trebuchet MS" w:hAnsi="Trebuchet MS"/>
          <w:sz w:val="20"/>
        </w:rPr>
        <w:t>homlpkzati</w:t>
      </w:r>
      <w:proofErr w:type="spellEnd"/>
      <w:r>
        <w:rPr>
          <w:rFonts w:ascii="Trebuchet MS" w:hAnsi="Trebuchet MS"/>
          <w:sz w:val="20"/>
        </w:rPr>
        <w:t xml:space="preserve"> vetületi-felület összegének (F) valamennyi, e vetületi-felület vízszintesen mért hosszának összegével (1) való osztásából (F/L) eredő érték.</w:t>
      </w:r>
    </w:p>
    <w:p w:rsidR="00DA2FDA" w:rsidRPr="00A502C0" w:rsidRDefault="00DA2FDA" w:rsidP="00DA2FDA">
      <w:pPr>
        <w:pStyle w:val="Lista2"/>
        <w:widowControl/>
        <w:tabs>
          <w:tab w:val="num" w:pos="720"/>
        </w:tabs>
        <w:overflowPunct/>
        <w:autoSpaceDE/>
        <w:autoSpaceDN/>
        <w:adjustRightInd/>
        <w:ind w:left="720" w:right="-3" w:hanging="360"/>
        <w:jc w:val="both"/>
        <w:textAlignment w:val="auto"/>
        <w:rPr>
          <w:rFonts w:ascii="Trebuchet MS" w:hAnsi="Trebuchet MS"/>
          <w:b/>
          <w:bCs/>
          <w:sz w:val="20"/>
        </w:rPr>
      </w:pPr>
      <w:r w:rsidRPr="00A502C0">
        <w:rPr>
          <w:rFonts w:ascii="Trebuchet MS" w:hAnsi="Trebuchet MS"/>
          <w:b/>
          <w:bCs/>
          <w:sz w:val="20"/>
        </w:rPr>
        <w:t xml:space="preserve">Épületszélesség: </w:t>
      </w:r>
      <w:r w:rsidRPr="00A502C0">
        <w:rPr>
          <w:rFonts w:ascii="Trebuchet MS" w:hAnsi="Trebuchet MS"/>
          <w:bCs/>
          <w:sz w:val="20"/>
        </w:rPr>
        <w:t>Az épület rövidebbik homlokzatának szélessége. Az utcai homlokvonal szélességéhez hozzá kell számítani azokat az oldalirányú épületkiugrásokat is, amelyeket az utcai homlokvonal síkjára állított 45 fokos egyenes érint.</w:t>
      </w:r>
      <w:r w:rsidRPr="00A502C0">
        <w:rPr>
          <w:rFonts w:ascii="Trebuchet MS" w:hAnsi="Trebuchet MS"/>
          <w:b/>
          <w:bCs/>
          <w:sz w:val="20"/>
        </w:rPr>
        <w:t xml:space="preserve"> 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b/>
          <w:bCs/>
          <w:sz w:val="20"/>
        </w:rPr>
        <w:t xml:space="preserve">Fekvő telek: </w:t>
      </w:r>
      <w:r w:rsidRPr="00A502C0">
        <w:rPr>
          <w:rFonts w:ascii="Trebuchet MS" w:hAnsi="Trebuchet MS"/>
          <w:bCs/>
          <w:sz w:val="20"/>
        </w:rPr>
        <w:t>a közterületekhez a hosszabbik oldalával csatlakozó építési telek</w:t>
      </w:r>
      <w:r w:rsidRPr="00A502C0">
        <w:rPr>
          <w:rFonts w:ascii="Trebuchet MS" w:hAnsi="Trebuchet MS"/>
          <w:b/>
          <w:bCs/>
          <w:sz w:val="20"/>
        </w:rPr>
        <w:t>.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 w:cs="Tahoma"/>
          <w:bCs/>
          <w:iCs/>
          <w:sz w:val="20"/>
        </w:rPr>
      </w:pPr>
      <w:proofErr w:type="spellStart"/>
      <w:r w:rsidRPr="00A502C0">
        <w:rPr>
          <w:rFonts w:ascii="Trebuchet MS" w:hAnsi="Trebuchet MS" w:cs="Tahoma"/>
          <w:b/>
          <w:bCs/>
          <w:iCs/>
          <w:sz w:val="20"/>
        </w:rPr>
        <w:t>Házikert</w:t>
      </w:r>
      <w:proofErr w:type="spellEnd"/>
      <w:r w:rsidRPr="00A502C0">
        <w:rPr>
          <w:rFonts w:ascii="Trebuchet MS" w:hAnsi="Trebuchet MS" w:cs="Tahoma"/>
          <w:b/>
          <w:bCs/>
          <w:iCs/>
          <w:sz w:val="20"/>
        </w:rPr>
        <w:t xml:space="preserve">: </w:t>
      </w:r>
      <w:r w:rsidRPr="00A502C0">
        <w:rPr>
          <w:rFonts w:ascii="Trebuchet MS" w:hAnsi="Trebuchet MS" w:cs="Tahoma"/>
          <w:bCs/>
          <w:iCs/>
          <w:sz w:val="20"/>
        </w:rPr>
        <w:t xml:space="preserve">a lakótelek Szabályozási tervben kertként szabályozott, be nem építhető része, amelyen elsődlegesen a saját ellátást szolgáló kerti növények (zöldségfélék, gyümölcs, szőlő) és az állatok takarmányául szolgáló növények </w:t>
      </w:r>
      <w:proofErr w:type="gramStart"/>
      <w:r w:rsidRPr="00A502C0">
        <w:rPr>
          <w:rFonts w:ascii="Trebuchet MS" w:hAnsi="Trebuchet MS" w:cs="Tahoma"/>
          <w:bCs/>
          <w:iCs/>
          <w:sz w:val="20"/>
        </w:rPr>
        <w:t>( kukorica</w:t>
      </w:r>
      <w:proofErr w:type="gramEnd"/>
      <w:r w:rsidRPr="00A502C0">
        <w:rPr>
          <w:rFonts w:ascii="Trebuchet MS" w:hAnsi="Trebuchet MS" w:cs="Tahoma"/>
          <w:bCs/>
          <w:iCs/>
          <w:sz w:val="20"/>
        </w:rPr>
        <w:t>) termeszthetők, illetve a lakók pihenését szolgáló díszkert alakítható ki.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b/>
          <w:bCs/>
          <w:iCs/>
          <w:sz w:val="20"/>
        </w:rPr>
        <w:t>Homlokzatmagasság</w:t>
      </w:r>
      <w:r w:rsidRPr="00A502C0">
        <w:rPr>
          <w:rFonts w:ascii="Trebuchet MS" w:hAnsi="Trebuchet MS" w:cs="Tahoma"/>
          <w:sz w:val="20"/>
        </w:rPr>
        <w:t xml:space="preserve"> (H): az építmény terepcsatlakozása feletti  vetületének átlagos magassága, melynek számítása </w:t>
      </w:r>
      <w:proofErr w:type="gramStart"/>
      <w:r w:rsidRPr="00A502C0">
        <w:rPr>
          <w:rFonts w:ascii="Trebuchet MS" w:hAnsi="Trebuchet MS" w:cs="Tahoma"/>
          <w:sz w:val="20"/>
        </w:rPr>
        <w:t>során figyelmen</w:t>
      </w:r>
      <w:proofErr w:type="gramEnd"/>
      <w:r w:rsidRPr="00A502C0">
        <w:rPr>
          <w:rFonts w:ascii="Trebuchet MS" w:hAnsi="Trebuchet MS" w:cs="Tahoma"/>
          <w:sz w:val="20"/>
        </w:rPr>
        <w:t xml:space="preserve"> kívül kell hagyni.</w:t>
      </w:r>
    </w:p>
    <w:p w:rsidR="00DA2FDA" w:rsidRPr="00A502C0" w:rsidRDefault="00DA2FDA" w:rsidP="00DA2FDA">
      <w:pPr>
        <w:numPr>
          <w:ilvl w:val="1"/>
          <w:numId w:val="1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>a kémények, szellőzőkürtök, tetőszerelvények magasságát.</w:t>
      </w:r>
    </w:p>
    <w:p w:rsidR="00DA2FDA" w:rsidRPr="00A502C0" w:rsidRDefault="00DA2FDA" w:rsidP="00DA2FDA">
      <w:pPr>
        <w:numPr>
          <w:ilvl w:val="1"/>
          <w:numId w:val="1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>a vizsgált homlokzatfelülettől 12 m-nél távolabbi (hátrább álló) építményrészeket,</w:t>
      </w:r>
    </w:p>
    <w:p w:rsidR="00DA2FDA" w:rsidRPr="00A502C0" w:rsidRDefault="00DA2FDA" w:rsidP="00DA2FDA">
      <w:pPr>
        <w:numPr>
          <w:ilvl w:val="1"/>
          <w:numId w:val="1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 xml:space="preserve">a vizsgálat homlokzatfelület vízszintes </w:t>
      </w:r>
      <w:proofErr w:type="spellStart"/>
      <w:r w:rsidRPr="00A502C0">
        <w:rPr>
          <w:rFonts w:ascii="Trebuchet MS" w:hAnsi="Trebuchet MS" w:cs="Tahoma"/>
          <w:sz w:val="20"/>
        </w:rPr>
        <w:t>összhosszának</w:t>
      </w:r>
      <w:proofErr w:type="spellEnd"/>
      <w:r w:rsidRPr="00A502C0">
        <w:rPr>
          <w:rFonts w:ascii="Trebuchet MS" w:hAnsi="Trebuchet MS" w:cs="Tahoma"/>
          <w:sz w:val="20"/>
        </w:rPr>
        <w:t xml:space="preserve"> egyharmadát meg nem haladó </w:t>
      </w:r>
      <w:proofErr w:type="spellStart"/>
      <w:r w:rsidRPr="00A502C0">
        <w:rPr>
          <w:rFonts w:ascii="Trebuchet MS" w:hAnsi="Trebuchet MS" w:cs="Tahoma"/>
          <w:sz w:val="20"/>
        </w:rPr>
        <w:t>összhosszúságú</w:t>
      </w:r>
      <w:proofErr w:type="spellEnd"/>
      <w:r w:rsidRPr="00A502C0">
        <w:rPr>
          <w:rFonts w:ascii="Trebuchet MS" w:hAnsi="Trebuchet MS" w:cs="Tahoma"/>
          <w:sz w:val="20"/>
        </w:rPr>
        <w:t xml:space="preserve"> és legfeljebb 3 m magasságú tetőfelépítmény, építményrész, attika, álló tetőablak,</w:t>
      </w:r>
    </w:p>
    <w:p w:rsidR="00DA2FDA" w:rsidRPr="00A502C0" w:rsidRDefault="00DA2FDA" w:rsidP="00DA2FDA">
      <w:pPr>
        <w:numPr>
          <w:ilvl w:val="1"/>
          <w:numId w:val="1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 xml:space="preserve">terepbevágás mögötti </w:t>
      </w:r>
      <w:proofErr w:type="gramStart"/>
      <w:r w:rsidRPr="00A502C0">
        <w:rPr>
          <w:rFonts w:ascii="Trebuchet MS" w:hAnsi="Trebuchet MS" w:cs="Tahoma"/>
          <w:sz w:val="20"/>
        </w:rPr>
        <w:t>homlokzatrész  magasságát</w:t>
      </w:r>
      <w:proofErr w:type="gramEnd"/>
      <w:r w:rsidRPr="00A502C0">
        <w:rPr>
          <w:rFonts w:ascii="Trebuchet MS" w:hAnsi="Trebuchet MS" w:cs="Tahoma"/>
          <w:sz w:val="20"/>
        </w:rPr>
        <w:t>, továbbá</w:t>
      </w:r>
    </w:p>
    <w:p w:rsidR="00DA2FDA" w:rsidRPr="00A502C0" w:rsidRDefault="00DA2FDA" w:rsidP="00DA2FDA">
      <w:pPr>
        <w:numPr>
          <w:ilvl w:val="1"/>
          <w:numId w:val="1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 xml:space="preserve">a </w:t>
      </w:r>
      <w:proofErr w:type="spellStart"/>
      <w:r w:rsidRPr="00A502C0">
        <w:rPr>
          <w:rFonts w:ascii="Trebuchet MS" w:hAnsi="Trebuchet MS" w:cs="Tahoma"/>
          <w:sz w:val="20"/>
        </w:rPr>
        <w:t>magastető</w:t>
      </w:r>
      <w:proofErr w:type="spellEnd"/>
      <w:r w:rsidRPr="00A502C0">
        <w:rPr>
          <w:rFonts w:ascii="Trebuchet MS" w:hAnsi="Trebuchet MS" w:cs="Tahoma"/>
          <w:sz w:val="20"/>
        </w:rPr>
        <w:t xml:space="preserve"> és oromfalainak 6 m-t meg nem haladó magasságú részét. </w:t>
      </w:r>
    </w:p>
    <w:p w:rsidR="00DA2FDA" w:rsidRPr="00A502C0" w:rsidRDefault="00DA2FDA" w:rsidP="00DA2FDA">
      <w:pPr>
        <w:numPr>
          <w:ilvl w:val="1"/>
          <w:numId w:val="1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>A gömb, félgömb, donga vagy sátortető alakú építmények („tetőépítmények”) homlokzatmagasságát, ha az a 12 m magasságot nem haladja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b/>
          <w:sz w:val="20"/>
        </w:rPr>
        <w:t>Jelentős zavaró hatás</w:t>
      </w:r>
      <w:r w:rsidRPr="00A502C0">
        <w:rPr>
          <w:rFonts w:ascii="Trebuchet MS" w:hAnsi="Trebuchet MS"/>
          <w:sz w:val="20"/>
        </w:rPr>
        <w:t>: különlegesen veszélyes (tűz-, robbanás-, fertőző-veszélyes), bűzös vagy nagy zajjal járó tevékenységből eredő hatás.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 w:cs="Trebuchet MS"/>
          <w:sz w:val="20"/>
        </w:rPr>
      </w:pPr>
      <w:r w:rsidRPr="00A502C0">
        <w:rPr>
          <w:rFonts w:ascii="Trebuchet MS" w:hAnsi="Trebuchet MS" w:cs="Trebuchet MS"/>
          <w:b/>
          <w:bCs/>
          <w:iCs/>
          <w:sz w:val="20"/>
        </w:rPr>
        <w:lastRenderedPageBreak/>
        <w:t xml:space="preserve">Kerti építmény: </w:t>
      </w:r>
      <w:r w:rsidRPr="00A502C0">
        <w:rPr>
          <w:rFonts w:ascii="Trebuchet MS" w:hAnsi="Trebuchet MS" w:cs="Trebuchet MS"/>
          <w:sz w:val="20"/>
        </w:rPr>
        <w:t>(hinta, csúszda, homokozó, szökőkút, díszkút, emlékmű, szobor, pergola pihenés és játék céljára szolgáló műtárgy, a terepszintnél 1 m-nél nem magasabbra emelkedő lefedés nélküli terasz)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b/>
          <w:bCs/>
          <w:sz w:val="20"/>
        </w:rPr>
        <w:t>Melléképület</w:t>
      </w:r>
      <w:r w:rsidRPr="00A502C0">
        <w:rPr>
          <w:rFonts w:ascii="Trebuchet MS" w:hAnsi="Trebuchet MS"/>
          <w:sz w:val="20"/>
        </w:rPr>
        <w:t>: fő rendeltetést kiszolgáló vagy kiegészítő funkciójú épület.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b/>
          <w:sz w:val="20"/>
        </w:rPr>
        <w:t>Nem jelentős zavaró hatás</w:t>
      </w:r>
      <w:r w:rsidRPr="00A502C0">
        <w:rPr>
          <w:rFonts w:ascii="Trebuchet MS" w:hAnsi="Trebuchet MS" w:cs="Tahoma"/>
          <w:sz w:val="20"/>
        </w:rPr>
        <w:t>: minden olyan tevékenységből fakadó hatás, mely a környezetét kevésbé zavarja zajjal, bűzzel, környezetszennyező kibocsátással</w:t>
      </w:r>
    </w:p>
    <w:p w:rsidR="00DA2FDA" w:rsidRPr="00A502C0" w:rsidRDefault="00DA2FDA" w:rsidP="00DA2FDA">
      <w:pPr>
        <w:ind w:left="513" w:right="-3" w:firstLine="207"/>
        <w:jc w:val="both"/>
        <w:rPr>
          <w:rFonts w:ascii="Trebuchet MS" w:hAnsi="Trebuchet MS" w:cs="Tahoma"/>
          <w:sz w:val="20"/>
        </w:rPr>
      </w:pPr>
      <w:proofErr w:type="spellStart"/>
      <w:r w:rsidRPr="00A502C0">
        <w:rPr>
          <w:rFonts w:ascii="Trebuchet MS" w:hAnsi="Trebuchet MS" w:cs="Tahoma"/>
          <w:sz w:val="20"/>
        </w:rPr>
        <w:t>pl</w:t>
      </w:r>
      <w:proofErr w:type="spellEnd"/>
      <w:r w:rsidRPr="00A502C0">
        <w:rPr>
          <w:rFonts w:ascii="Trebuchet MS" w:hAnsi="Trebuchet MS" w:cs="Tahoma"/>
          <w:sz w:val="20"/>
        </w:rPr>
        <w:t>:</w:t>
      </w:r>
    </w:p>
    <w:p w:rsidR="00DA2FDA" w:rsidRPr="00A502C0" w:rsidRDefault="00DA2FDA" w:rsidP="00DA2FDA">
      <w:pPr>
        <w:numPr>
          <w:ilvl w:val="1"/>
          <w:numId w:val="2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 xml:space="preserve">a gazdasági tevékenységi célú épületen belül a tulajdonos, a használó </w:t>
      </w:r>
      <w:proofErr w:type="gramStart"/>
      <w:r w:rsidRPr="00A502C0">
        <w:rPr>
          <w:rFonts w:ascii="Trebuchet MS" w:hAnsi="Trebuchet MS" w:cs="Tahoma"/>
          <w:sz w:val="20"/>
        </w:rPr>
        <w:t>és  a</w:t>
      </w:r>
      <w:proofErr w:type="gramEnd"/>
      <w:r w:rsidRPr="00A502C0">
        <w:rPr>
          <w:rFonts w:ascii="Trebuchet MS" w:hAnsi="Trebuchet MS" w:cs="Tahoma"/>
          <w:sz w:val="20"/>
        </w:rPr>
        <w:t xml:space="preserve"> személyzet számára szolgáló lakások, </w:t>
      </w:r>
    </w:p>
    <w:p w:rsidR="00DA2FDA" w:rsidRPr="00A502C0" w:rsidRDefault="00DA2FDA" w:rsidP="00DA2FDA">
      <w:pPr>
        <w:numPr>
          <w:ilvl w:val="1"/>
          <w:numId w:val="2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 xml:space="preserve">igazgatási, egyéb irodaépület, </w:t>
      </w:r>
    </w:p>
    <w:p w:rsidR="00DA2FDA" w:rsidRPr="00A502C0" w:rsidRDefault="00DA2FDA" w:rsidP="00DA2FDA">
      <w:pPr>
        <w:numPr>
          <w:ilvl w:val="1"/>
          <w:numId w:val="2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 xml:space="preserve">parkolóház, üzemanyagtöltő, </w:t>
      </w:r>
    </w:p>
    <w:p w:rsidR="00DA2FDA" w:rsidRPr="00A502C0" w:rsidRDefault="00DA2FDA" w:rsidP="00DA2FDA">
      <w:pPr>
        <w:numPr>
          <w:ilvl w:val="1"/>
          <w:numId w:val="2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>sportépítmény</w:t>
      </w:r>
    </w:p>
    <w:p w:rsidR="00DA2FDA" w:rsidRPr="00A502C0" w:rsidRDefault="00DA2FDA" w:rsidP="00DA2FDA">
      <w:pPr>
        <w:numPr>
          <w:ilvl w:val="1"/>
          <w:numId w:val="2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 xml:space="preserve">egyházi-, oktatási-, egészségügyi-, szociális épület, </w:t>
      </w:r>
    </w:p>
    <w:p w:rsidR="00DA2FDA" w:rsidRPr="00A502C0" w:rsidRDefault="00DA2FDA" w:rsidP="00DA2FDA">
      <w:pPr>
        <w:numPr>
          <w:ilvl w:val="1"/>
          <w:numId w:val="2"/>
        </w:numPr>
        <w:tabs>
          <w:tab w:val="left" w:pos="1440"/>
        </w:tabs>
        <w:suppressAutoHyphens/>
        <w:ind w:right="-3"/>
        <w:jc w:val="both"/>
        <w:rPr>
          <w:rFonts w:ascii="Trebuchet MS" w:hAnsi="Trebuchet MS" w:cs="Tahoma"/>
          <w:sz w:val="20"/>
        </w:rPr>
      </w:pPr>
      <w:r w:rsidRPr="00A502C0">
        <w:rPr>
          <w:rFonts w:ascii="Trebuchet MS" w:hAnsi="Trebuchet MS" w:cs="Tahoma"/>
          <w:sz w:val="20"/>
        </w:rPr>
        <w:t xml:space="preserve">egyéb közösségi szórakoztató épület. </w:t>
      </w:r>
    </w:p>
    <w:p w:rsidR="00DA2FDA" w:rsidRPr="00A502C0" w:rsidRDefault="00DA2FDA" w:rsidP="00DA2FDA">
      <w:pPr>
        <w:pStyle w:val="Lista21"/>
        <w:tabs>
          <w:tab w:val="left" w:pos="720"/>
        </w:tabs>
        <w:ind w:left="720" w:right="-3" w:hanging="36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b/>
          <w:bCs/>
          <w:iCs/>
          <w:sz w:val="20"/>
        </w:rPr>
        <w:t>Nyúlványos (nyeles telek):</w:t>
      </w:r>
      <w:r w:rsidRPr="00A502C0">
        <w:rPr>
          <w:rFonts w:ascii="Trebuchet MS" w:hAnsi="Trebuchet MS"/>
          <w:sz w:val="20"/>
        </w:rPr>
        <w:t xml:space="preserve"> olyan telek, mely telekmegosztás során jön létre, úgy hogy a megosztást követően kialakul egy, a közterülettel továbbra is homlokvonalával kapcsolódó telek (visszamaradó telek) és egy „hátsó” telek (nyeles telek), mely a közterülethez mindössze egy, min. 3 m széles teleknyúlvánnyal kapcsolódik.</w:t>
      </w:r>
    </w:p>
    <w:p w:rsidR="00DA2FDA" w:rsidRPr="00A502C0" w:rsidRDefault="00DA2FDA" w:rsidP="00DA2FDA">
      <w:pPr>
        <w:tabs>
          <w:tab w:val="left" w:pos="720"/>
          <w:tab w:val="left" w:pos="9070"/>
        </w:tabs>
        <w:suppressAutoHyphens/>
        <w:ind w:left="720" w:right="-3" w:hanging="36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b/>
          <w:sz w:val="20"/>
        </w:rPr>
        <w:t>Rekultivációs terv:</w:t>
      </w:r>
      <w:r w:rsidRPr="00A502C0">
        <w:rPr>
          <w:rFonts w:ascii="Trebuchet MS" w:hAnsi="Trebuchet MS"/>
          <w:sz w:val="20"/>
        </w:rPr>
        <w:t xml:space="preserve"> hulladéklerakók, tájsebek környezetvédelmi előírásoknak megfelelő felszámolására, tájba illesztésére és további hasznosítására vonatkozó dokumentáció, amelyet a területileg illetékes hatóságok számára kell benyújtani.</w:t>
      </w:r>
    </w:p>
    <w:p w:rsidR="00DA2FDA" w:rsidRDefault="00DA2FDA" w:rsidP="00DA2FDA">
      <w:pPr>
        <w:pStyle w:val="viChar"/>
        <w:tabs>
          <w:tab w:val="left" w:pos="720"/>
        </w:tabs>
        <w:ind w:left="720" w:right="-3" w:hanging="360"/>
        <w:rPr>
          <w:szCs w:val="20"/>
        </w:rPr>
      </w:pPr>
      <w:r w:rsidRPr="00A502C0">
        <w:rPr>
          <w:b/>
          <w:bCs/>
          <w:szCs w:val="20"/>
        </w:rPr>
        <w:t>Rendezett telek:</w:t>
      </w:r>
      <w:r w:rsidRPr="00A502C0">
        <w:rPr>
          <w:szCs w:val="20"/>
        </w:rPr>
        <w:t xml:space="preserve"> rendezettnek tekinthető egy telek, ha a Szabályozási tervekben előírt telekalakítási eljárást (közterület céljára való területlejegyzés) maradéktalanul elvégezték, s azt végrehajtották (kerítésáthelyezés, épületbontás,)</w:t>
      </w:r>
    </w:p>
    <w:p w:rsidR="00DA2FDA" w:rsidRPr="00A502C0" w:rsidRDefault="00DA2FDA" w:rsidP="00DA2FDA">
      <w:pPr>
        <w:pStyle w:val="viChar"/>
        <w:tabs>
          <w:tab w:val="left" w:pos="720"/>
        </w:tabs>
        <w:ind w:left="720" w:right="-3" w:hanging="360"/>
        <w:rPr>
          <w:szCs w:val="20"/>
        </w:rPr>
      </w:pPr>
      <w:r w:rsidRPr="00105A97">
        <w:rPr>
          <w:b/>
          <w:bCs/>
          <w:szCs w:val="20"/>
        </w:rPr>
        <w:t>Szintterületi mutató:</w:t>
      </w:r>
      <w:r w:rsidRPr="00105A97">
        <w:rPr>
          <w:szCs w:val="20"/>
        </w:rPr>
        <w:t xml:space="preserve"> </w:t>
      </w:r>
      <w:r w:rsidRPr="00105A97">
        <w:t xml:space="preserve">a telken elhelyezhető (elhelyezett) </w:t>
      </w:r>
      <w:proofErr w:type="gramStart"/>
      <w:r w:rsidRPr="00105A97">
        <w:t>épület(</w:t>
      </w:r>
      <w:proofErr w:type="spellStart"/>
      <w:proofErr w:type="gramEnd"/>
      <w:r w:rsidRPr="00105A97">
        <w:t>ek</w:t>
      </w:r>
      <w:proofErr w:type="spellEnd"/>
      <w:r w:rsidRPr="00105A97">
        <w:t>) valamennyi szintjének összes bruttó alapterületének és a telek területének hányadosából képzett mutatószám.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b/>
          <w:sz w:val="20"/>
        </w:rPr>
        <w:t xml:space="preserve">Tájképvédelmi-tájesztétikai szakvélemény: </w:t>
      </w:r>
      <w:r w:rsidRPr="00A502C0">
        <w:rPr>
          <w:rFonts w:ascii="Trebuchet MS" w:hAnsi="Trebuchet MS"/>
          <w:sz w:val="20"/>
        </w:rPr>
        <w:t xml:space="preserve">Okleveles tájépítészmérnök által készített dokumentáció, mely szakmai szempontok értékelése alapján megállapítja, hogy az adott meglévő, vagy tervezett objektum tájesztétikai-tájképvédelmi szempontok alapján a tájban megtartható, illetve elhelyezhető-e. Amennyiben az objektum megtartható, a szakvéleménynek megalapozott szakmai szempontok alapján meg kell határozni, hogy milyen beavatkozások szükségesek a tájba illesztéshez, illetve a kedvezőtlen hatások milyen módon csökkenthetők. </w:t>
      </w:r>
    </w:p>
    <w:p w:rsidR="00DA2FDA" w:rsidRPr="00A502C0" w:rsidRDefault="00DA2FDA" w:rsidP="00DA2FDA">
      <w:pPr>
        <w:ind w:left="513" w:right="-3" w:firstLine="207"/>
        <w:rPr>
          <w:rFonts w:ascii="Trebuchet MS" w:hAnsi="Trebuchet MS"/>
          <w:sz w:val="20"/>
        </w:rPr>
      </w:pPr>
      <w:r w:rsidRPr="00A502C0">
        <w:rPr>
          <w:rFonts w:ascii="Trebuchet MS" w:hAnsi="Trebuchet MS"/>
          <w:sz w:val="20"/>
        </w:rPr>
        <w:t>Az értékelés, tájba illesztés fő szempontjai:</w:t>
      </w:r>
    </w:p>
    <w:p w:rsidR="00DA2FDA" w:rsidRPr="00A502C0" w:rsidRDefault="00DA2FDA" w:rsidP="00DA2FDA">
      <w:pPr>
        <w:ind w:left="720" w:right="-3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sz w:val="20"/>
        </w:rPr>
        <w:t>Helykiválasztás, formaválasztás, színválasztás, anyaghasználat, növényalkalmazás</w:t>
      </w:r>
    </w:p>
    <w:p w:rsidR="00DA2FDA" w:rsidRPr="00A502C0" w:rsidRDefault="00DA2FDA" w:rsidP="00DA2FDA">
      <w:pPr>
        <w:pStyle w:val="Lista21"/>
        <w:tabs>
          <w:tab w:val="left" w:pos="720"/>
        </w:tabs>
        <w:ind w:left="720" w:right="-3" w:hanging="36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b/>
          <w:bCs/>
          <w:iCs/>
          <w:sz w:val="20"/>
        </w:rPr>
        <w:t>Telek be nem építhető része</w:t>
      </w:r>
      <w:r w:rsidRPr="00A502C0">
        <w:rPr>
          <w:rFonts w:ascii="Trebuchet MS" w:hAnsi="Trebuchet MS"/>
          <w:sz w:val="20"/>
        </w:rPr>
        <w:t>: a telek azon része ahol épület nem helyezhető el.</w:t>
      </w:r>
    </w:p>
    <w:p w:rsidR="00DA2FDA" w:rsidRPr="00A502C0" w:rsidRDefault="00DA2FDA" w:rsidP="00DA2FDA">
      <w:pPr>
        <w:pStyle w:val="Lista21"/>
        <w:tabs>
          <w:tab w:val="left" w:pos="720"/>
        </w:tabs>
        <w:ind w:left="720" w:right="-3" w:hanging="36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b/>
          <w:bCs/>
          <w:iCs/>
          <w:sz w:val="20"/>
        </w:rPr>
        <w:t>Telektömb</w:t>
      </w:r>
      <w:r w:rsidRPr="00A502C0">
        <w:rPr>
          <w:rFonts w:ascii="Trebuchet MS" w:hAnsi="Trebuchet MS"/>
          <w:sz w:val="20"/>
        </w:rPr>
        <w:t xml:space="preserve">: A telkek olyan csoportja, amelyet minden oldalról közterület vagy részben más beépítésre nem szánt terület határolt. ( Építési tv. 2.§, 25. pont.) </w:t>
      </w:r>
    </w:p>
    <w:p w:rsidR="00DA2FDA" w:rsidRPr="00A502C0" w:rsidRDefault="00DA2FDA" w:rsidP="00DA2FDA">
      <w:pPr>
        <w:pStyle w:val="Lista31"/>
        <w:ind w:left="720" w:right="-3" w:firstLine="54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sz w:val="20"/>
        </w:rPr>
        <w:t>A tömb határait jelentheti tehát a közterületi határ (meglévő szabályozási vonal), a belterülethatár, az igazgatási határ, valamint beépítésre nem szánt terület határa is.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/>
          <w:iCs/>
          <w:sz w:val="20"/>
        </w:rPr>
      </w:pPr>
      <w:r w:rsidRPr="00A502C0">
        <w:rPr>
          <w:rFonts w:ascii="Trebuchet MS" w:hAnsi="Trebuchet MS"/>
          <w:b/>
          <w:bCs/>
          <w:sz w:val="20"/>
        </w:rPr>
        <w:t>Telken belüli kötelező telekhasználat:</w:t>
      </w:r>
      <w:r w:rsidRPr="00A502C0">
        <w:rPr>
          <w:rFonts w:ascii="Trebuchet MS" w:hAnsi="Trebuchet MS"/>
          <w:iCs/>
          <w:sz w:val="20"/>
        </w:rPr>
        <w:t xml:space="preserve"> A kijelölt telekrészt az övezet előírásaitól függetlenül kizárólag a Szabályozási terven jelölt célra lehet felhasználni. (</w:t>
      </w:r>
      <w:proofErr w:type="spellStart"/>
      <w:r w:rsidRPr="00A502C0">
        <w:rPr>
          <w:rFonts w:ascii="Trebuchet MS" w:hAnsi="Trebuchet MS"/>
          <w:iCs/>
          <w:sz w:val="20"/>
        </w:rPr>
        <w:t>hk-</w:t>
      </w:r>
      <w:proofErr w:type="spellEnd"/>
      <w:r w:rsidRPr="00A502C0">
        <w:rPr>
          <w:rFonts w:ascii="Trebuchet MS" w:hAnsi="Trebuchet MS"/>
          <w:iCs/>
          <w:sz w:val="20"/>
        </w:rPr>
        <w:t xml:space="preserve"> </w:t>
      </w:r>
      <w:proofErr w:type="spellStart"/>
      <w:r w:rsidRPr="00A502C0">
        <w:rPr>
          <w:rFonts w:ascii="Trebuchet MS" w:hAnsi="Trebuchet MS"/>
          <w:iCs/>
          <w:sz w:val="20"/>
        </w:rPr>
        <w:t>házikert</w:t>
      </w:r>
      <w:proofErr w:type="spellEnd"/>
      <w:r w:rsidRPr="00A502C0">
        <w:rPr>
          <w:rFonts w:ascii="Trebuchet MS" w:hAnsi="Trebuchet MS"/>
          <w:iCs/>
          <w:sz w:val="20"/>
        </w:rPr>
        <w:t xml:space="preserve">; </w:t>
      </w:r>
      <w:proofErr w:type="spellStart"/>
      <w:r w:rsidRPr="00A502C0">
        <w:rPr>
          <w:rFonts w:ascii="Trebuchet MS" w:hAnsi="Trebuchet MS"/>
          <w:iCs/>
          <w:sz w:val="20"/>
        </w:rPr>
        <w:t>sp</w:t>
      </w:r>
      <w:proofErr w:type="spellEnd"/>
      <w:r w:rsidRPr="00A502C0">
        <w:rPr>
          <w:rFonts w:ascii="Trebuchet MS" w:hAnsi="Trebuchet MS"/>
          <w:iCs/>
          <w:sz w:val="20"/>
        </w:rPr>
        <w:t xml:space="preserve"> – sportterület; park – zöldfelület, park; p – parkoló terület; E – erdőterület)</w:t>
      </w:r>
    </w:p>
    <w:p w:rsidR="00DA2FDA" w:rsidRPr="00A502C0" w:rsidRDefault="00DA2FDA" w:rsidP="00DA2FDA">
      <w:pPr>
        <w:tabs>
          <w:tab w:val="left" w:pos="720"/>
        </w:tabs>
        <w:suppressAutoHyphens/>
        <w:ind w:left="720" w:right="-3" w:hanging="360"/>
        <w:jc w:val="both"/>
        <w:rPr>
          <w:rFonts w:ascii="Trebuchet MS" w:hAnsi="Trebuchet MS"/>
          <w:bCs/>
          <w:sz w:val="20"/>
        </w:rPr>
      </w:pPr>
      <w:r w:rsidRPr="00A502C0">
        <w:rPr>
          <w:rFonts w:ascii="Trebuchet MS" w:hAnsi="Trebuchet MS"/>
          <w:b/>
          <w:bCs/>
          <w:sz w:val="20"/>
        </w:rPr>
        <w:t xml:space="preserve">Tömör kerítés: </w:t>
      </w:r>
      <w:r w:rsidRPr="00A502C0">
        <w:rPr>
          <w:rFonts w:ascii="Trebuchet MS" w:hAnsi="Trebuchet MS"/>
          <w:bCs/>
          <w:sz w:val="20"/>
        </w:rPr>
        <w:t xml:space="preserve">Olyan kerítés, melynek a kerítés síkjára merőleges átláthatósága 50%-nál nagyobb mértékben korlátozott. </w:t>
      </w:r>
    </w:p>
    <w:p w:rsidR="00DA2FDA" w:rsidRPr="00A502C0" w:rsidRDefault="00DA2FDA" w:rsidP="00DA2FDA">
      <w:pPr>
        <w:ind w:left="360" w:right="848"/>
        <w:jc w:val="both"/>
        <w:rPr>
          <w:rFonts w:ascii="Trebuchet MS" w:hAnsi="Trebuchet MS" w:cs="Trebuchet MS"/>
          <w:sz w:val="20"/>
        </w:rPr>
      </w:pPr>
    </w:p>
    <w:p w:rsidR="00DA2FDA" w:rsidRDefault="00DA2FDA" w:rsidP="00DA2FDA">
      <w:pPr>
        <w:rPr>
          <w:rFonts w:ascii="Trebuchet MS" w:hAnsi="Trebuchet MS"/>
        </w:rPr>
      </w:pPr>
    </w:p>
    <w:p w:rsidR="00DA2FDA" w:rsidRDefault="00DA2FDA" w:rsidP="00DA2FDA">
      <w:pPr>
        <w:rPr>
          <w:rFonts w:ascii="Trebuchet MS" w:hAnsi="Trebuchet MS"/>
        </w:rPr>
      </w:pPr>
    </w:p>
    <w:p w:rsidR="00DA2FDA" w:rsidRDefault="00DA2FDA" w:rsidP="00DA2FDA">
      <w:pPr>
        <w:rPr>
          <w:rFonts w:ascii="Trebuchet MS" w:hAnsi="Trebuchet MS"/>
        </w:rPr>
      </w:pPr>
    </w:p>
    <w:p w:rsidR="00DA2FDA" w:rsidRDefault="00DA2FDA" w:rsidP="00DA2FDA">
      <w:pPr>
        <w:rPr>
          <w:rFonts w:ascii="Trebuchet MS" w:hAnsi="Trebuchet MS"/>
        </w:rPr>
      </w:pPr>
    </w:p>
    <w:p w:rsidR="00DA2FDA" w:rsidRDefault="00DA2FDA" w:rsidP="00DA2FDA">
      <w:pPr>
        <w:rPr>
          <w:rFonts w:ascii="Trebuchet MS" w:hAnsi="Trebuchet MS"/>
        </w:rPr>
      </w:pPr>
    </w:p>
    <w:p w:rsidR="00DA2FDA" w:rsidRDefault="00DA2FDA" w:rsidP="00DA2FDA">
      <w:pPr>
        <w:rPr>
          <w:rFonts w:ascii="Trebuchet MS" w:hAnsi="Trebuchet MS"/>
        </w:rPr>
      </w:pPr>
    </w:p>
    <w:p w:rsidR="00DA2FDA" w:rsidRDefault="00DA2FDA" w:rsidP="00DA2FDA">
      <w:pPr>
        <w:rPr>
          <w:rFonts w:ascii="Trebuchet MS" w:hAnsi="Trebuchet MS"/>
        </w:rPr>
      </w:pPr>
    </w:p>
    <w:p w:rsidR="00DA2FDA" w:rsidRDefault="00DA2FDA" w:rsidP="00DA2FDA">
      <w:pPr>
        <w:rPr>
          <w:rFonts w:ascii="Trebuchet MS" w:hAnsi="Trebuchet MS"/>
        </w:rPr>
      </w:pPr>
    </w:p>
    <w:p w:rsidR="00DA2FDA" w:rsidRPr="00A502C0" w:rsidRDefault="00DA2FDA" w:rsidP="00DA2FDA">
      <w:pPr>
        <w:rPr>
          <w:rFonts w:ascii="Trebuchet MS" w:hAnsi="Trebuchet MS"/>
        </w:rPr>
      </w:pPr>
    </w:p>
    <w:p w:rsidR="00DA2FDA" w:rsidRPr="00A502C0" w:rsidRDefault="00DA2FDA" w:rsidP="00DA2FDA">
      <w:pPr>
        <w:pStyle w:val="Cmsor3"/>
        <w:jc w:val="center"/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</w:pPr>
      <w:bookmarkStart w:id="2" w:name="_Toc228601393"/>
      <w:r>
        <w:rPr>
          <w:rStyle w:val="Cmsor2Char"/>
          <w:rFonts w:ascii="Trebuchet MS" w:hAnsi="Trebuchet MS"/>
          <w:i/>
          <w:iCs/>
          <w:caps/>
          <w:sz w:val="24"/>
        </w:rPr>
        <w:lastRenderedPageBreak/>
        <w:t>2</w:t>
      </w:r>
      <w:r w:rsidRPr="003239F6">
        <w:rPr>
          <w:rStyle w:val="Cmsor2Char"/>
          <w:rFonts w:ascii="Trebuchet MS" w:hAnsi="Trebuchet MS"/>
          <w:i/>
          <w:iCs/>
          <w:caps/>
          <w:sz w:val="24"/>
        </w:rPr>
        <w:t>. sz. melléklet</w:t>
      </w:r>
      <w:r w:rsidRPr="003239F6">
        <w:rPr>
          <w:rStyle w:val="Cmsor2Char"/>
          <w:rFonts w:ascii="Trebuchet MS" w:hAnsi="Trebuchet MS"/>
          <w:i/>
          <w:iCs/>
          <w:caps/>
          <w:sz w:val="24"/>
        </w:rPr>
        <w:br/>
      </w:r>
      <w:r w:rsidRPr="00A502C0"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  <w:t>SAjátos jogintézmények</w:t>
      </w:r>
      <w:bookmarkEnd w:id="2"/>
    </w:p>
    <w:p w:rsidR="00DA2FDA" w:rsidRPr="00A502C0" w:rsidRDefault="00DA2FDA" w:rsidP="00DA2FDA">
      <w:pPr>
        <w:tabs>
          <w:tab w:val="left" w:pos="1134"/>
        </w:tabs>
        <w:jc w:val="both"/>
        <w:rPr>
          <w:rFonts w:ascii="Trebuchet MS" w:hAnsi="Trebuchet MS"/>
          <w:b/>
          <w:sz w:val="22"/>
          <w:szCs w:val="22"/>
          <w:u w:val="single"/>
        </w:rPr>
      </w:pPr>
    </w:p>
    <w:p w:rsidR="00DA2FDA" w:rsidRPr="00A502C0" w:rsidRDefault="00DA2FDA" w:rsidP="00DA2FDA">
      <w:pPr>
        <w:suppressAutoHyphens/>
        <w:jc w:val="both"/>
        <w:rPr>
          <w:rFonts w:ascii="Trebuchet MS" w:hAnsi="Trebuchet MS"/>
          <w:sz w:val="22"/>
          <w:szCs w:val="22"/>
          <w:lang w:eastAsia="ar-SA"/>
        </w:rPr>
      </w:pPr>
      <w:r w:rsidRPr="00A502C0">
        <w:rPr>
          <w:rFonts w:ascii="Trebuchet MS" w:hAnsi="Trebuchet MS"/>
          <w:sz w:val="22"/>
          <w:szCs w:val="22"/>
          <w:lang w:eastAsia="ar-SA"/>
        </w:rPr>
        <w:t>/1/</w:t>
      </w:r>
      <w:r w:rsidRPr="00A502C0">
        <w:rPr>
          <w:rFonts w:ascii="Trebuchet MS" w:hAnsi="Trebuchet MS"/>
          <w:sz w:val="22"/>
          <w:szCs w:val="22"/>
          <w:lang w:eastAsia="ar-SA"/>
        </w:rPr>
        <w:tab/>
        <w:t xml:space="preserve">Elővásárlási jog terheli a 0122/3 </w:t>
      </w:r>
      <w:proofErr w:type="spellStart"/>
      <w:r w:rsidRPr="00A502C0">
        <w:rPr>
          <w:rFonts w:ascii="Trebuchet MS" w:hAnsi="Trebuchet MS"/>
          <w:sz w:val="22"/>
          <w:szCs w:val="22"/>
          <w:lang w:eastAsia="ar-SA"/>
        </w:rPr>
        <w:t>hrsz-ú</w:t>
      </w:r>
      <w:proofErr w:type="spellEnd"/>
      <w:r w:rsidRPr="00A502C0">
        <w:rPr>
          <w:rFonts w:ascii="Trebuchet MS" w:hAnsi="Trebuchet MS"/>
          <w:sz w:val="22"/>
          <w:szCs w:val="22"/>
          <w:lang w:eastAsia="ar-SA"/>
        </w:rPr>
        <w:t xml:space="preserve"> ingatlant. </w:t>
      </w:r>
    </w:p>
    <w:p w:rsidR="00DA2FDA" w:rsidRPr="00A502C0" w:rsidRDefault="00DA2FDA" w:rsidP="00DA2FDA">
      <w:pPr>
        <w:suppressAutoHyphens/>
        <w:jc w:val="both"/>
        <w:rPr>
          <w:rFonts w:ascii="Trebuchet MS" w:hAnsi="Trebuchet MS"/>
          <w:sz w:val="22"/>
          <w:szCs w:val="22"/>
          <w:lang w:eastAsia="ar-SA"/>
        </w:rPr>
      </w:pPr>
    </w:p>
    <w:p w:rsidR="00DA2FDA" w:rsidRPr="00A502C0" w:rsidRDefault="00DA2FDA" w:rsidP="00DA2FDA">
      <w:pPr>
        <w:suppressAutoHyphens/>
        <w:jc w:val="both"/>
        <w:rPr>
          <w:rFonts w:ascii="Trebuchet MS" w:hAnsi="Trebuchet MS"/>
          <w:sz w:val="22"/>
          <w:szCs w:val="22"/>
          <w:lang w:eastAsia="ar-SA"/>
        </w:rPr>
      </w:pPr>
    </w:p>
    <w:p w:rsidR="00DA2FDA" w:rsidRPr="00A502C0" w:rsidRDefault="00DA2FDA" w:rsidP="00DA2FDA">
      <w:pPr>
        <w:suppressAutoHyphens/>
        <w:jc w:val="both"/>
        <w:rPr>
          <w:rFonts w:ascii="Trebuchet MS" w:hAnsi="Trebuchet MS"/>
          <w:sz w:val="22"/>
          <w:szCs w:val="22"/>
          <w:lang w:eastAsia="ar-SA"/>
        </w:rPr>
      </w:pPr>
    </w:p>
    <w:p w:rsidR="00DA2FDA" w:rsidRPr="00A502C0" w:rsidRDefault="00DA2FDA" w:rsidP="00DA2FDA">
      <w:pPr>
        <w:pStyle w:val="Cmsor3"/>
        <w:rPr>
          <w:rFonts w:ascii="Trebuchet MS" w:hAnsi="Trebuchet MS"/>
        </w:rPr>
      </w:pPr>
    </w:p>
    <w:p w:rsidR="00544A74" w:rsidRDefault="00DA2FDA" w:rsidP="00DA2FDA">
      <w:r w:rsidRPr="00A502C0">
        <w:rPr>
          <w:rFonts w:ascii="Trebuchet MS" w:hAnsi="Trebuchet MS"/>
        </w:rPr>
        <w:br w:type="page"/>
      </w:r>
      <w:bookmarkStart w:id="3" w:name="_GoBack"/>
      <w:bookmarkEnd w:id="3"/>
    </w:p>
    <w:sectPr w:rsidR="0054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2A" w:rsidRDefault="004C4D2A" w:rsidP="00DA2FDA">
      <w:r>
        <w:separator/>
      </w:r>
    </w:p>
  </w:endnote>
  <w:endnote w:type="continuationSeparator" w:id="0">
    <w:p w:rsidR="004C4D2A" w:rsidRDefault="004C4D2A" w:rsidP="00DA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kerSignet_PFL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2A" w:rsidRDefault="004C4D2A" w:rsidP="00DA2FDA">
      <w:r>
        <w:separator/>
      </w:r>
    </w:p>
  </w:footnote>
  <w:footnote w:type="continuationSeparator" w:id="0">
    <w:p w:rsidR="004C4D2A" w:rsidRDefault="004C4D2A" w:rsidP="00DA2FDA">
      <w:r>
        <w:continuationSeparator/>
      </w:r>
    </w:p>
  </w:footnote>
  <w:footnote w:id="1">
    <w:p w:rsidR="00DA2FDA" w:rsidRPr="00170AD0" w:rsidRDefault="00DA2FDA" w:rsidP="00DA2FD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bevezette a 3/2014.(IV.22) rendelet 5.§.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proofErr w:type="gramEnd"/>
      <w:r>
        <w:rPr>
          <w:rFonts w:asciiTheme="minorHAnsi" w:hAnsiTheme="minorHAnsi"/>
        </w:rPr>
        <w:t>, hatályos 2014.május hó 7.napjától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E14DF0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DA"/>
    <w:rsid w:val="00280371"/>
    <w:rsid w:val="004C4D2A"/>
    <w:rsid w:val="00500D98"/>
    <w:rsid w:val="00DA2FDA"/>
    <w:rsid w:val="00E477B0"/>
    <w:rsid w:val="00F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FDA"/>
    <w:rPr>
      <w:rFonts w:ascii="BakerSignet_PFL" w:eastAsia="Times New Roman" w:hAnsi="BakerSignet_PFL"/>
      <w:szCs w:val="24"/>
      <w:lang w:eastAsia="hu-HU"/>
    </w:rPr>
  </w:style>
  <w:style w:type="paragraph" w:styleId="Cmsor1">
    <w:name w:val="heading 1"/>
    <w:aliases w:val="intoduction"/>
    <w:basedOn w:val="Norml"/>
    <w:next w:val="Norml"/>
    <w:link w:val="Cmsor1Char"/>
    <w:qFormat/>
    <w:rsid w:val="00DA2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aliases w:val="Címsor3"/>
    <w:basedOn w:val="Norml"/>
    <w:next w:val="Norml"/>
    <w:link w:val="Cmsor3Char"/>
    <w:unhideWhenUsed/>
    <w:qFormat/>
    <w:rsid w:val="00DA2F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intoduction Char1"/>
    <w:basedOn w:val="Bekezdsalapbettpusa"/>
    <w:link w:val="Cmsor1"/>
    <w:rsid w:val="00DA2FD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aliases w:val="Címsor3 Char"/>
    <w:basedOn w:val="Bekezdsalapbettpusa"/>
    <w:link w:val="Cmsor3"/>
    <w:rsid w:val="00DA2FD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2Char">
    <w:name w:val="Címsor 2 Char"/>
    <w:aliases w:val="Címsor 2 Char Char Char Char Char Char Char Char Char Char Char Char Char Char Char Char,Címsor 2;Címsor 2 Char Char Char Char Char Char Char Char Char Char Char Char Char Char Char Char"/>
    <w:basedOn w:val="Bekezdsalapbettpusa"/>
    <w:rsid w:val="00DA2F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DA2FD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A2FDA"/>
    <w:rPr>
      <w:rFonts w:ascii="BakerSignet_PFL" w:eastAsia="Times New Roman" w:hAnsi="BakerSignet_PFL"/>
      <w:sz w:val="20"/>
      <w:szCs w:val="20"/>
      <w:lang w:eastAsia="hu-HU"/>
    </w:rPr>
  </w:style>
  <w:style w:type="paragraph" w:customStyle="1" w:styleId="Lista21">
    <w:name w:val="Lista 21"/>
    <w:basedOn w:val="Norml"/>
    <w:rsid w:val="00DA2FDA"/>
    <w:pPr>
      <w:suppressAutoHyphens/>
      <w:ind w:left="566" w:hanging="283"/>
    </w:pPr>
    <w:rPr>
      <w:rFonts w:ascii="Times New Roman" w:hAnsi="Times New Roman"/>
      <w:szCs w:val="20"/>
      <w:lang w:eastAsia="ar-SA"/>
    </w:rPr>
  </w:style>
  <w:style w:type="paragraph" w:customStyle="1" w:styleId="viChar">
    <w:name w:val="évi Char"/>
    <w:basedOn w:val="Norml"/>
    <w:rsid w:val="00DA2FDA"/>
    <w:pPr>
      <w:suppressAutoHyphens/>
      <w:ind w:left="567" w:hanging="567"/>
      <w:jc w:val="both"/>
    </w:pPr>
    <w:rPr>
      <w:rFonts w:ascii="Trebuchet MS" w:hAnsi="Trebuchet MS"/>
      <w:sz w:val="20"/>
      <w:szCs w:val="22"/>
      <w:lang w:eastAsia="ar-SA"/>
    </w:rPr>
  </w:style>
  <w:style w:type="paragraph" w:customStyle="1" w:styleId="Lista31">
    <w:name w:val="Lista 31"/>
    <w:basedOn w:val="Norml"/>
    <w:rsid w:val="00DA2FDA"/>
    <w:pPr>
      <w:suppressAutoHyphens/>
      <w:ind w:left="849" w:hanging="283"/>
    </w:pPr>
    <w:rPr>
      <w:rFonts w:ascii="Times New Roman" w:hAnsi="Times New Roman"/>
      <w:szCs w:val="20"/>
      <w:lang w:eastAsia="ar-SA"/>
    </w:rPr>
  </w:style>
  <w:style w:type="character" w:styleId="Lbjegyzet-hivatkozs">
    <w:name w:val="footnote reference"/>
    <w:basedOn w:val="Bekezdsalapbettpusa"/>
    <w:semiHidden/>
    <w:unhideWhenUsed/>
    <w:rsid w:val="00DA2FDA"/>
    <w:rPr>
      <w:vertAlign w:val="superscript"/>
    </w:rPr>
  </w:style>
  <w:style w:type="paragraph" w:styleId="Lista2">
    <w:name w:val="List 2"/>
    <w:basedOn w:val="Norml"/>
    <w:rsid w:val="00DA2FDA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Garamond" w:hAnsi="Garamond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FDA"/>
    <w:rPr>
      <w:rFonts w:ascii="BakerSignet_PFL" w:eastAsia="Times New Roman" w:hAnsi="BakerSignet_PFL"/>
      <w:szCs w:val="24"/>
      <w:lang w:eastAsia="hu-HU"/>
    </w:rPr>
  </w:style>
  <w:style w:type="paragraph" w:styleId="Cmsor1">
    <w:name w:val="heading 1"/>
    <w:aliases w:val="intoduction"/>
    <w:basedOn w:val="Norml"/>
    <w:next w:val="Norml"/>
    <w:link w:val="Cmsor1Char"/>
    <w:qFormat/>
    <w:rsid w:val="00DA2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aliases w:val="Címsor3"/>
    <w:basedOn w:val="Norml"/>
    <w:next w:val="Norml"/>
    <w:link w:val="Cmsor3Char"/>
    <w:unhideWhenUsed/>
    <w:qFormat/>
    <w:rsid w:val="00DA2F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intoduction Char1"/>
    <w:basedOn w:val="Bekezdsalapbettpusa"/>
    <w:link w:val="Cmsor1"/>
    <w:rsid w:val="00DA2FD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aliases w:val="Címsor3 Char"/>
    <w:basedOn w:val="Bekezdsalapbettpusa"/>
    <w:link w:val="Cmsor3"/>
    <w:rsid w:val="00DA2FD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2Char">
    <w:name w:val="Címsor 2 Char"/>
    <w:aliases w:val="Címsor 2 Char Char Char Char Char Char Char Char Char Char Char Char Char Char Char Char,Címsor 2;Címsor 2 Char Char Char Char Char Char Char Char Char Char Char Char Char Char Char Char"/>
    <w:basedOn w:val="Bekezdsalapbettpusa"/>
    <w:rsid w:val="00DA2F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DA2FD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A2FDA"/>
    <w:rPr>
      <w:rFonts w:ascii="BakerSignet_PFL" w:eastAsia="Times New Roman" w:hAnsi="BakerSignet_PFL"/>
      <w:sz w:val="20"/>
      <w:szCs w:val="20"/>
      <w:lang w:eastAsia="hu-HU"/>
    </w:rPr>
  </w:style>
  <w:style w:type="paragraph" w:customStyle="1" w:styleId="Lista21">
    <w:name w:val="Lista 21"/>
    <w:basedOn w:val="Norml"/>
    <w:rsid w:val="00DA2FDA"/>
    <w:pPr>
      <w:suppressAutoHyphens/>
      <w:ind w:left="566" w:hanging="283"/>
    </w:pPr>
    <w:rPr>
      <w:rFonts w:ascii="Times New Roman" w:hAnsi="Times New Roman"/>
      <w:szCs w:val="20"/>
      <w:lang w:eastAsia="ar-SA"/>
    </w:rPr>
  </w:style>
  <w:style w:type="paragraph" w:customStyle="1" w:styleId="viChar">
    <w:name w:val="évi Char"/>
    <w:basedOn w:val="Norml"/>
    <w:rsid w:val="00DA2FDA"/>
    <w:pPr>
      <w:suppressAutoHyphens/>
      <w:ind w:left="567" w:hanging="567"/>
      <w:jc w:val="both"/>
    </w:pPr>
    <w:rPr>
      <w:rFonts w:ascii="Trebuchet MS" w:hAnsi="Trebuchet MS"/>
      <w:sz w:val="20"/>
      <w:szCs w:val="22"/>
      <w:lang w:eastAsia="ar-SA"/>
    </w:rPr>
  </w:style>
  <w:style w:type="paragraph" w:customStyle="1" w:styleId="Lista31">
    <w:name w:val="Lista 31"/>
    <w:basedOn w:val="Norml"/>
    <w:rsid w:val="00DA2FDA"/>
    <w:pPr>
      <w:suppressAutoHyphens/>
      <w:ind w:left="849" w:hanging="283"/>
    </w:pPr>
    <w:rPr>
      <w:rFonts w:ascii="Times New Roman" w:hAnsi="Times New Roman"/>
      <w:szCs w:val="20"/>
      <w:lang w:eastAsia="ar-SA"/>
    </w:rPr>
  </w:style>
  <w:style w:type="character" w:styleId="Lbjegyzet-hivatkozs">
    <w:name w:val="footnote reference"/>
    <w:basedOn w:val="Bekezdsalapbettpusa"/>
    <w:semiHidden/>
    <w:unhideWhenUsed/>
    <w:rsid w:val="00DA2FDA"/>
    <w:rPr>
      <w:vertAlign w:val="superscript"/>
    </w:rPr>
  </w:style>
  <w:style w:type="paragraph" w:styleId="Lista2">
    <w:name w:val="List 2"/>
    <w:basedOn w:val="Norml"/>
    <w:rsid w:val="00DA2FDA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Garamond" w:hAnsi="Garamond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1</cp:revision>
  <dcterms:created xsi:type="dcterms:W3CDTF">2016-02-03T15:35:00Z</dcterms:created>
  <dcterms:modified xsi:type="dcterms:W3CDTF">2016-02-03T15:36:00Z</dcterms:modified>
</cp:coreProperties>
</file>