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5D3" w:rsidRPr="00D50D3A" w:rsidRDefault="002705D3" w:rsidP="002705D3">
      <w:pPr>
        <w:jc w:val="right"/>
        <w:rPr>
          <w:b/>
        </w:rPr>
      </w:pPr>
      <w:bookmarkStart w:id="0" w:name="_GoBack"/>
      <w:bookmarkEnd w:id="0"/>
      <w:r w:rsidRPr="00D50D3A">
        <w:rPr>
          <w:b/>
        </w:rPr>
        <w:t>5. számú melléklet</w:t>
      </w:r>
      <w:r>
        <w:rPr>
          <w:rStyle w:val="Lbjegyzet-hivatkozs"/>
          <w:b/>
        </w:rPr>
        <w:footnoteReference w:id="1"/>
      </w:r>
    </w:p>
    <w:p w:rsidR="002705D3" w:rsidRPr="00D50D3A" w:rsidRDefault="002705D3" w:rsidP="002705D3">
      <w:pPr>
        <w:jc w:val="both"/>
      </w:pPr>
    </w:p>
    <w:p w:rsidR="002705D3" w:rsidRPr="00D50D3A" w:rsidRDefault="002705D3" w:rsidP="002705D3">
      <w:pPr>
        <w:jc w:val="both"/>
        <w:rPr>
          <w:b/>
          <w:bCs/>
        </w:rPr>
      </w:pPr>
      <w:r w:rsidRPr="00D50D3A">
        <w:rPr>
          <w:b/>
          <w:bCs/>
        </w:rPr>
        <w:t xml:space="preserve">I. </w:t>
      </w:r>
      <w:proofErr w:type="gramStart"/>
      <w:r w:rsidRPr="00D50D3A">
        <w:rPr>
          <w:b/>
          <w:bCs/>
        </w:rPr>
        <w:t>A</w:t>
      </w:r>
      <w:proofErr w:type="gramEnd"/>
      <w:r w:rsidRPr="00D50D3A">
        <w:rPr>
          <w:b/>
          <w:bCs/>
        </w:rPr>
        <w:t xml:space="preserve"> polgármester:</w:t>
      </w:r>
    </w:p>
    <w:p w:rsidR="002705D3" w:rsidRPr="00D50D3A" w:rsidRDefault="002705D3" w:rsidP="002705D3">
      <w:pPr>
        <w:jc w:val="both"/>
        <w:rPr>
          <w:bCs/>
        </w:rPr>
      </w:pPr>
    </w:p>
    <w:p w:rsidR="002705D3" w:rsidRPr="00D50D3A" w:rsidRDefault="002705D3" w:rsidP="002705D3">
      <w:pPr>
        <w:numPr>
          <w:ilvl w:val="0"/>
          <w:numId w:val="4"/>
        </w:numPr>
        <w:tabs>
          <w:tab w:val="left" w:pos="360"/>
        </w:tabs>
        <w:jc w:val="both"/>
      </w:pPr>
      <w:r w:rsidRPr="00D50D3A">
        <w:t>dönt a nyilvánvalóan nem jogosult személyektől, szervektől érkező, illetőleg a rendeletben meghatározottnál kevesebb választópolgár által támogatott kezdeményezések elutasításáról (2/1992. (III. 03.) rendelet 7.§.(2) bekezdés)</w:t>
      </w:r>
    </w:p>
    <w:p w:rsidR="002705D3" w:rsidRPr="00D50D3A" w:rsidRDefault="002705D3" w:rsidP="002705D3">
      <w:pPr>
        <w:numPr>
          <w:ilvl w:val="0"/>
          <w:numId w:val="4"/>
        </w:numPr>
        <w:tabs>
          <w:tab w:val="left" w:pos="360"/>
        </w:tabs>
        <w:jc w:val="both"/>
      </w:pPr>
      <w:r w:rsidRPr="00D50D3A">
        <w:t>dönt a társasházak és lakásszövetkezetek veszély-elhárítási munkáinak önkormányzati támogatásáról (30/2000. (XII.24.) rendelet 1.§ (5) bekezdés),</w:t>
      </w:r>
    </w:p>
    <w:p w:rsidR="002705D3" w:rsidRPr="00D50D3A" w:rsidRDefault="002705D3" w:rsidP="002705D3">
      <w:pPr>
        <w:numPr>
          <w:ilvl w:val="0"/>
          <w:numId w:val="4"/>
        </w:numPr>
        <w:tabs>
          <w:tab w:val="left" w:pos="360"/>
        </w:tabs>
        <w:jc w:val="both"/>
      </w:pPr>
      <w:r w:rsidRPr="00D50D3A">
        <w:t>dönt – versenyeztetés lefolytatása útján – a 4 millió forintot meghaladó, de az egyszerű közbeszerzési értékhatárt el nem érő beruházásokról (37/2004. (XI. 17.) rendelet 8. § (1) bekezdés),</w:t>
      </w:r>
    </w:p>
    <w:p w:rsidR="002705D3" w:rsidRPr="00D50D3A" w:rsidRDefault="002705D3" w:rsidP="002705D3">
      <w:pPr>
        <w:numPr>
          <w:ilvl w:val="0"/>
          <w:numId w:val="4"/>
        </w:numPr>
        <w:tabs>
          <w:tab w:val="left" w:pos="360"/>
        </w:tabs>
        <w:jc w:val="both"/>
      </w:pPr>
      <w:r w:rsidRPr="00D50D3A">
        <w:t>dönt a 4 millió forint alatti beruházásokról, három árajánlat bekérésével, árszakértői egyeztetés után (37/2004. (XI. 17.) rendelet 8. § (4) bekezdés),</w:t>
      </w:r>
    </w:p>
    <w:p w:rsidR="002705D3" w:rsidRPr="00D50D3A" w:rsidRDefault="002705D3" w:rsidP="002705D3">
      <w:pPr>
        <w:numPr>
          <w:ilvl w:val="0"/>
          <w:numId w:val="4"/>
        </w:numPr>
        <w:tabs>
          <w:tab w:val="left" w:pos="360"/>
        </w:tabs>
        <w:jc w:val="both"/>
      </w:pPr>
      <w:r w:rsidRPr="00D50D3A">
        <w:t>dönt a kiviteli terv módosításáról – az intézményvezető kérésére, vagy műszaki szükségesség esetén – a költségek 5 %-át meg nem haladó növelése esetén (37/2004. (XI. 17.) rendelet 9. § (3) bekezdés),</w:t>
      </w:r>
    </w:p>
    <w:p w:rsidR="002705D3" w:rsidRPr="00D50D3A" w:rsidRDefault="002705D3" w:rsidP="002705D3">
      <w:pPr>
        <w:numPr>
          <w:ilvl w:val="0"/>
          <w:numId w:val="4"/>
        </w:numPr>
        <w:tabs>
          <w:tab w:val="left" w:pos="360"/>
        </w:tabs>
        <w:jc w:val="both"/>
      </w:pPr>
      <w:r w:rsidRPr="00D50D3A">
        <w:t>dönt a bérbeadóra tartozó bérlő által elvégzendő felújításra vonatkozó megállapodás megkötéséről és a bérbeszámítás módjáról (7/2006. (III. 10.) rendelet 2. § (5) bekezdés)</w:t>
      </w:r>
    </w:p>
    <w:p w:rsidR="002705D3" w:rsidRPr="00D50D3A" w:rsidRDefault="002705D3" w:rsidP="002705D3">
      <w:pPr>
        <w:numPr>
          <w:ilvl w:val="0"/>
          <w:numId w:val="4"/>
        </w:numPr>
        <w:tabs>
          <w:tab w:val="left" w:pos="360"/>
        </w:tabs>
        <w:jc w:val="both"/>
      </w:pPr>
      <w:r w:rsidRPr="00D50D3A">
        <w:t>dönt lakások bérbeadásáról a Gazdasági Bizottság javaslata alapján meghatározott esetekben (7/2006. (III. 10.) rendelet 4.§ (6) bekezdés)</w:t>
      </w:r>
    </w:p>
    <w:p w:rsidR="002705D3" w:rsidRPr="00D50D3A" w:rsidRDefault="002705D3" w:rsidP="002705D3">
      <w:pPr>
        <w:numPr>
          <w:ilvl w:val="0"/>
          <w:numId w:val="4"/>
        </w:numPr>
        <w:tabs>
          <w:tab w:val="left" w:pos="360"/>
        </w:tabs>
        <w:jc w:val="both"/>
      </w:pPr>
      <w:r w:rsidRPr="00D50D3A">
        <w:t xml:space="preserve"> dönt a lakások bérbeadásáról meghatározott esetekben (7/2006. (III. 10.) rendelet 4.§ (7) bekezdés),</w:t>
      </w:r>
    </w:p>
    <w:p w:rsidR="002705D3" w:rsidRPr="00D50D3A" w:rsidRDefault="002705D3" w:rsidP="002705D3">
      <w:pPr>
        <w:numPr>
          <w:ilvl w:val="0"/>
          <w:numId w:val="4"/>
        </w:numPr>
        <w:tabs>
          <w:tab w:val="left" w:pos="360"/>
        </w:tabs>
        <w:jc w:val="both"/>
      </w:pPr>
      <w:r w:rsidRPr="00D50D3A">
        <w:t>részletfizetést engedélyez bérleti díj tartozás esetén (7/2006. (III.10.) rendelet 4.§ (14) bekezdés),</w:t>
      </w:r>
    </w:p>
    <w:p w:rsidR="002705D3" w:rsidRPr="00D50D3A" w:rsidRDefault="002705D3" w:rsidP="002705D3">
      <w:pPr>
        <w:numPr>
          <w:ilvl w:val="0"/>
          <w:numId w:val="4"/>
        </w:numPr>
        <w:tabs>
          <w:tab w:val="left" w:pos="360"/>
        </w:tabs>
        <w:jc w:val="both"/>
      </w:pPr>
      <w:r w:rsidRPr="00D50D3A">
        <w:t>dönt a tartási szerződések jóváhagyásáról (7/2006. (III.10.) rendelet 5. § (1) bekezdés a) pontja),</w:t>
      </w:r>
    </w:p>
    <w:p w:rsidR="002705D3" w:rsidRPr="00D50D3A" w:rsidRDefault="002705D3" w:rsidP="002705D3">
      <w:pPr>
        <w:numPr>
          <w:ilvl w:val="0"/>
          <w:numId w:val="4"/>
        </w:numPr>
        <w:tabs>
          <w:tab w:val="left" w:pos="360"/>
        </w:tabs>
        <w:jc w:val="both"/>
      </w:pPr>
      <w:r w:rsidRPr="00D50D3A">
        <w:t xml:space="preserve"> dönt az ideiglenes elhelyezés meghosszabbításáról (7/2006. (III.10.) rendelet 9.§ (4) bekezdés),</w:t>
      </w:r>
    </w:p>
    <w:p w:rsidR="002705D3" w:rsidRPr="00D50D3A" w:rsidRDefault="002705D3" w:rsidP="002705D3">
      <w:pPr>
        <w:numPr>
          <w:ilvl w:val="0"/>
          <w:numId w:val="4"/>
        </w:numPr>
        <w:tabs>
          <w:tab w:val="left" w:pos="360"/>
        </w:tabs>
        <w:jc w:val="both"/>
      </w:pPr>
      <w:r w:rsidRPr="00D50D3A">
        <w:t>dönt a pénzbeli térítés mértékéről, ha a bérlő cserelakásra nem tart igényt (7/2006. (III.10.) rendelet 10.§ (4) bekezdés),</w:t>
      </w:r>
    </w:p>
    <w:p w:rsidR="002705D3" w:rsidRPr="00D50D3A" w:rsidRDefault="002705D3" w:rsidP="002705D3">
      <w:pPr>
        <w:numPr>
          <w:ilvl w:val="0"/>
          <w:numId w:val="4"/>
        </w:numPr>
        <w:tabs>
          <w:tab w:val="left" w:pos="360"/>
        </w:tabs>
        <w:jc w:val="both"/>
      </w:pPr>
      <w:r w:rsidRPr="00D50D3A">
        <w:t>hozzájárul az albérleti szerződés megkötéséhez (7/2006. (III.10.) rendelet 18.§ (2) bekezdés),</w:t>
      </w:r>
    </w:p>
    <w:p w:rsidR="002705D3" w:rsidRPr="00D50D3A" w:rsidRDefault="002705D3" w:rsidP="002705D3">
      <w:pPr>
        <w:numPr>
          <w:ilvl w:val="0"/>
          <w:numId w:val="4"/>
        </w:numPr>
        <w:tabs>
          <w:tab w:val="left" w:pos="360"/>
        </w:tabs>
        <w:jc w:val="both"/>
      </w:pPr>
      <w:r w:rsidRPr="00D50D3A">
        <w:t xml:space="preserve"> dönt pályázat kiírásáról és elbírálásáról piaci alapon bérbe adott lakások esetén (7/2006. (III. 10.) 19/</w:t>
      </w:r>
      <w:proofErr w:type="gramStart"/>
      <w:r w:rsidRPr="00D50D3A">
        <w:t>A.</w:t>
      </w:r>
      <w:proofErr w:type="gramEnd"/>
      <w:r w:rsidRPr="00D50D3A">
        <w:t xml:space="preserve"> § (7) bekezdés),</w:t>
      </w:r>
    </w:p>
    <w:p w:rsidR="002705D3" w:rsidRPr="00D50D3A" w:rsidRDefault="002705D3" w:rsidP="002705D3">
      <w:pPr>
        <w:numPr>
          <w:ilvl w:val="0"/>
          <w:numId w:val="4"/>
        </w:numPr>
        <w:tabs>
          <w:tab w:val="left" w:pos="360"/>
        </w:tabs>
        <w:jc w:val="both"/>
      </w:pPr>
      <w:r w:rsidRPr="00D50D3A">
        <w:t>dönt határozott idejű bérleti szerződés megkötéséről (7/2006. (III.10.) rendelet 20.§ (5) bekezdés b) pont)</w:t>
      </w:r>
    </w:p>
    <w:p w:rsidR="002705D3" w:rsidRPr="00D50D3A" w:rsidRDefault="002705D3" w:rsidP="002705D3">
      <w:pPr>
        <w:numPr>
          <w:ilvl w:val="0"/>
          <w:numId w:val="4"/>
        </w:numPr>
        <w:tabs>
          <w:tab w:val="left" w:pos="360"/>
        </w:tabs>
        <w:jc w:val="both"/>
      </w:pPr>
      <w:r w:rsidRPr="00D50D3A">
        <w:t xml:space="preserve">felmentést ad a közterületi rendezvényekre vonatkozó korlátozások alól (26/2009. (XII. 04.) rendelet 3.§ (6) bekezdés), </w:t>
      </w:r>
    </w:p>
    <w:p w:rsidR="002705D3" w:rsidRPr="00D50D3A" w:rsidRDefault="002705D3" w:rsidP="002705D3">
      <w:pPr>
        <w:numPr>
          <w:ilvl w:val="0"/>
          <w:numId w:val="4"/>
        </w:numPr>
        <w:tabs>
          <w:tab w:val="left" w:pos="360"/>
        </w:tabs>
        <w:jc w:val="both"/>
      </w:pPr>
      <w:r w:rsidRPr="00D50D3A">
        <w:t>dönt az intézményvezető döntését vitató kérelem ügyében (24/2011. (IX.26.) rendelet 18. § (3) bekezdés a) pont)</w:t>
      </w:r>
    </w:p>
    <w:p w:rsidR="002705D3" w:rsidRPr="00D50D3A" w:rsidRDefault="002705D3" w:rsidP="002705D3">
      <w:pPr>
        <w:numPr>
          <w:ilvl w:val="0"/>
          <w:numId w:val="4"/>
        </w:numPr>
        <w:tabs>
          <w:tab w:val="left" w:pos="360"/>
        </w:tabs>
        <w:jc w:val="both"/>
      </w:pPr>
      <w:r w:rsidRPr="00D50D3A">
        <w:t xml:space="preserve">dönt iskolai, óvodai gyermekétkeztetés esetén térítési </w:t>
      </w:r>
      <w:proofErr w:type="gramStart"/>
      <w:r w:rsidRPr="00D50D3A">
        <w:t>díj kedvezményről</w:t>
      </w:r>
      <w:proofErr w:type="gramEnd"/>
      <w:r w:rsidRPr="00D50D3A">
        <w:t>, elengedi, csökkenti a megtérítés összegét, vagy részletfizetést állapít meg jogosulatlanul igénybe vett szociális ellátás esetén (24/2011. (IX.26.) rendelet 25. § (2) bekezdés),</w:t>
      </w:r>
    </w:p>
    <w:p w:rsidR="002705D3" w:rsidRPr="00D50D3A" w:rsidRDefault="002705D3" w:rsidP="002705D3">
      <w:pPr>
        <w:numPr>
          <w:ilvl w:val="0"/>
          <w:numId w:val="4"/>
        </w:numPr>
        <w:tabs>
          <w:tab w:val="left" w:pos="360"/>
        </w:tabs>
        <w:jc w:val="both"/>
      </w:pPr>
      <w:r w:rsidRPr="00D50D3A">
        <w:t xml:space="preserve">dönt helyi gázár- és </w:t>
      </w:r>
      <w:proofErr w:type="spellStart"/>
      <w:r w:rsidRPr="00D50D3A">
        <w:t>távhőtámogatás</w:t>
      </w:r>
      <w:proofErr w:type="spellEnd"/>
      <w:r w:rsidRPr="00D50D3A">
        <w:t xml:space="preserve"> megállapításáról (25/2011.(IX.26.) 13/</w:t>
      </w:r>
      <w:proofErr w:type="gramStart"/>
      <w:r w:rsidRPr="00D50D3A">
        <w:t>A.</w:t>
      </w:r>
      <w:proofErr w:type="gramEnd"/>
      <w:r w:rsidRPr="00D50D3A">
        <w:t xml:space="preserve"> § (1) bekezdés) </w:t>
      </w:r>
    </w:p>
    <w:p w:rsidR="002705D3" w:rsidRPr="00D50D3A" w:rsidRDefault="002705D3" w:rsidP="002705D3">
      <w:pPr>
        <w:numPr>
          <w:ilvl w:val="0"/>
          <w:numId w:val="4"/>
        </w:numPr>
        <w:tabs>
          <w:tab w:val="left" w:pos="360"/>
        </w:tabs>
        <w:jc w:val="both"/>
      </w:pPr>
      <w:r w:rsidRPr="00D50D3A">
        <w:lastRenderedPageBreak/>
        <w:t>dönt a lakbértámogatás megállapításáról (25/2011. (IX. 26.) rendelet 14.§ (1) bekezdés),</w:t>
      </w:r>
    </w:p>
    <w:p w:rsidR="002705D3" w:rsidRPr="00D50D3A" w:rsidRDefault="002705D3" w:rsidP="002705D3">
      <w:pPr>
        <w:numPr>
          <w:ilvl w:val="0"/>
          <w:numId w:val="4"/>
        </w:numPr>
        <w:tabs>
          <w:tab w:val="left" w:pos="360"/>
        </w:tabs>
        <w:jc w:val="both"/>
      </w:pPr>
      <w:r w:rsidRPr="00D50D3A">
        <w:t>dönt az átmeneti segélyről (25/2011. (IX. 26.) rendelet 15.§ (1) bekezdés),</w:t>
      </w:r>
    </w:p>
    <w:p w:rsidR="002705D3" w:rsidRPr="00D50D3A" w:rsidRDefault="002705D3" w:rsidP="002705D3">
      <w:pPr>
        <w:numPr>
          <w:ilvl w:val="0"/>
          <w:numId w:val="4"/>
        </w:numPr>
        <w:tabs>
          <w:tab w:val="left" w:pos="360"/>
        </w:tabs>
        <w:jc w:val="both"/>
      </w:pPr>
      <w:r w:rsidRPr="00D50D3A">
        <w:t>dönt a temetési segélyről (25/2011. (IX. 26.) rendelet 18.§ (1) bekezdés),</w:t>
      </w:r>
    </w:p>
    <w:p w:rsidR="002705D3" w:rsidRPr="00D50D3A" w:rsidRDefault="002705D3" w:rsidP="002705D3">
      <w:pPr>
        <w:numPr>
          <w:ilvl w:val="0"/>
          <w:numId w:val="4"/>
        </w:numPr>
        <w:tabs>
          <w:tab w:val="left" w:pos="360"/>
        </w:tabs>
        <w:jc w:val="both"/>
      </w:pPr>
      <w:r w:rsidRPr="00D50D3A">
        <w:t>mentesíti az eltemettetésre köteles személyt köztemetés esetén a megtérítési kötelezettség alól részben vagy egészben (25/2011. (IX.26.) rendelet 31.§ (2) bekezdés),</w:t>
      </w:r>
    </w:p>
    <w:p w:rsidR="002705D3" w:rsidRPr="00D50D3A" w:rsidRDefault="002705D3" w:rsidP="002705D3">
      <w:pPr>
        <w:numPr>
          <w:ilvl w:val="0"/>
          <w:numId w:val="4"/>
        </w:numPr>
        <w:tabs>
          <w:tab w:val="left" w:pos="360"/>
        </w:tabs>
        <w:jc w:val="both"/>
      </w:pPr>
      <w:r w:rsidRPr="00D50D3A">
        <w:t>karácsonyi támogatást nyújt (25/2011. (IX.26.) rendelet 33/</w:t>
      </w:r>
      <w:proofErr w:type="gramStart"/>
      <w:r w:rsidRPr="00D50D3A">
        <w:t>A</w:t>
      </w:r>
      <w:proofErr w:type="gramEnd"/>
      <w:r w:rsidRPr="00D50D3A">
        <w:t xml:space="preserve">. § (1) és (2) bekezdés) </w:t>
      </w:r>
    </w:p>
    <w:p w:rsidR="002705D3" w:rsidRPr="00D50D3A" w:rsidRDefault="002705D3" w:rsidP="002705D3">
      <w:pPr>
        <w:numPr>
          <w:ilvl w:val="0"/>
          <w:numId w:val="4"/>
        </w:numPr>
        <w:tabs>
          <w:tab w:val="left" w:pos="360"/>
        </w:tabs>
        <w:jc w:val="both"/>
      </w:pPr>
      <w:r w:rsidRPr="00D50D3A">
        <w:t>dönt a rendkívüli gyermekvédelmi támogatásról (25/2011.(IX.26.) 34.§ (1) bekezdés),</w:t>
      </w:r>
    </w:p>
    <w:p w:rsidR="002705D3" w:rsidRPr="00D50D3A" w:rsidRDefault="002705D3" w:rsidP="002705D3">
      <w:pPr>
        <w:numPr>
          <w:ilvl w:val="0"/>
          <w:numId w:val="4"/>
        </w:numPr>
        <w:tabs>
          <w:tab w:val="left" w:pos="360"/>
        </w:tabs>
        <w:jc w:val="both"/>
      </w:pPr>
      <w:r w:rsidRPr="00D50D3A">
        <w:t>dönt a tanulási képességet vizsgáló szakértői bizottság szakvéleménye alapján kijelölt, nem Budapest IX. kerületi székhelyű, telephelyű óvodába, illetve iskolába járáshoz a költségek megtérítéséről (25/2011. (IX.26.) rendelet 39. § (4) bekezdés)</w:t>
      </w:r>
    </w:p>
    <w:p w:rsidR="002705D3" w:rsidRPr="00D50D3A" w:rsidRDefault="002705D3" w:rsidP="002705D3">
      <w:pPr>
        <w:numPr>
          <w:ilvl w:val="0"/>
          <w:numId w:val="4"/>
        </w:numPr>
        <w:tabs>
          <w:tab w:val="left" w:pos="360"/>
        </w:tabs>
        <w:jc w:val="both"/>
      </w:pPr>
      <w:r w:rsidRPr="00D50D3A">
        <w:t>engedélyezheti a Ferencvárosban működő szociális és gyermekjóléti intézmények által azok gondozottai és kísérői és a Polgármesteri Hivatal dolgozói részére, valamint a Ferencvárosban működő művészeti- és sportegyesületek által azok tagjai részére, hogy az általuk megfizetendő térítési díjak megegyezzenek a IX. kerületi tanulók által fizetendő térítési díjakkal (25/2011. (IX.26.) rendelet 41/</w:t>
      </w:r>
      <w:proofErr w:type="gramStart"/>
      <w:r w:rsidRPr="00D50D3A">
        <w:t>A</w:t>
      </w:r>
      <w:proofErr w:type="gramEnd"/>
      <w:r w:rsidRPr="00D50D3A">
        <w:t>. § (2) bekezdés)</w:t>
      </w:r>
    </w:p>
    <w:p w:rsidR="002705D3" w:rsidRPr="00D50D3A" w:rsidRDefault="002705D3" w:rsidP="002705D3">
      <w:pPr>
        <w:numPr>
          <w:ilvl w:val="0"/>
          <w:numId w:val="4"/>
        </w:numPr>
        <w:tabs>
          <w:tab w:val="left" w:pos="360"/>
        </w:tabs>
        <w:jc w:val="both"/>
      </w:pPr>
      <w:r w:rsidRPr="00D50D3A">
        <w:t>kedvezményt nyújthat a kincsesbányai táborban a hétvégeken és a turnuson kívüli időszakban az egyéb vendég részére a szállás díjának megfizetésére (25/2011. (IX.26.) rendelet 41/</w:t>
      </w:r>
      <w:proofErr w:type="gramStart"/>
      <w:r w:rsidRPr="00D50D3A">
        <w:t>A</w:t>
      </w:r>
      <w:proofErr w:type="gramEnd"/>
      <w:r w:rsidRPr="00D50D3A">
        <w:t>. § (3) bekezdés)</w:t>
      </w:r>
    </w:p>
    <w:p w:rsidR="002705D3" w:rsidRPr="00D50D3A" w:rsidRDefault="002705D3" w:rsidP="002705D3">
      <w:pPr>
        <w:numPr>
          <w:ilvl w:val="0"/>
          <w:numId w:val="4"/>
        </w:numPr>
        <w:tabs>
          <w:tab w:val="left" w:pos="360"/>
        </w:tabs>
        <w:jc w:val="both"/>
      </w:pPr>
      <w:r w:rsidRPr="00D50D3A">
        <w:t xml:space="preserve">kedvezményt nyújthat a </w:t>
      </w:r>
      <w:proofErr w:type="spellStart"/>
      <w:r w:rsidRPr="00D50D3A">
        <w:t>balatonlellei</w:t>
      </w:r>
      <w:proofErr w:type="spellEnd"/>
      <w:r w:rsidRPr="00D50D3A">
        <w:t xml:space="preserve"> tábor a szállás díjának megfizetésére (25/2011. (IX.26.) rendelet 41/</w:t>
      </w:r>
      <w:proofErr w:type="gramStart"/>
      <w:r w:rsidRPr="00D50D3A">
        <w:t>A</w:t>
      </w:r>
      <w:proofErr w:type="gramEnd"/>
      <w:r w:rsidRPr="00D50D3A">
        <w:t>. § (5) bekezdés)</w:t>
      </w:r>
    </w:p>
    <w:p w:rsidR="002705D3" w:rsidRPr="00D50D3A" w:rsidRDefault="002705D3" w:rsidP="002705D3">
      <w:pPr>
        <w:numPr>
          <w:ilvl w:val="0"/>
          <w:numId w:val="4"/>
        </w:numPr>
        <w:tabs>
          <w:tab w:val="left" w:pos="360"/>
        </w:tabs>
        <w:jc w:val="both"/>
      </w:pPr>
      <w:r w:rsidRPr="00D50D3A">
        <w:t xml:space="preserve">dönt az ösztöndíjpályázatok elbírálásáról (29/2011. (X. 11.) rendelet 3. § (1) bekezdés) </w:t>
      </w:r>
    </w:p>
    <w:p w:rsidR="002705D3" w:rsidRPr="00D50D3A" w:rsidRDefault="002705D3" w:rsidP="002705D3">
      <w:pPr>
        <w:numPr>
          <w:ilvl w:val="0"/>
          <w:numId w:val="4"/>
        </w:numPr>
        <w:tabs>
          <w:tab w:val="left" w:pos="360"/>
        </w:tabs>
        <w:jc w:val="both"/>
      </w:pPr>
      <w:r w:rsidRPr="00D50D3A">
        <w:t>kiadja a lakossági várakozási, a gazdálkodói várakozási, az egészségügyi várakozási, valamint a Ferencvárosi Közterület-felügyelet részére biztosított behajtási-várakozási hozzájárulásokat (39/2011. (XII. 12.) rendelet 10. § (1) bekezdés)</w:t>
      </w:r>
    </w:p>
    <w:p w:rsidR="002705D3" w:rsidRPr="00D50D3A" w:rsidRDefault="002705D3" w:rsidP="002705D3">
      <w:pPr>
        <w:numPr>
          <w:ilvl w:val="0"/>
          <w:numId w:val="4"/>
        </w:numPr>
        <w:tabs>
          <w:tab w:val="left" w:pos="360"/>
        </w:tabs>
        <w:jc w:val="both"/>
      </w:pPr>
      <w:r w:rsidRPr="00D50D3A">
        <w:t xml:space="preserve">megköti az e rendeletben meghatározott hozzájárulások kiadásával kapcsolatos teendők ellátására vonatkozó szerződést a </w:t>
      </w:r>
      <w:proofErr w:type="spellStart"/>
      <w:r w:rsidRPr="00D50D3A">
        <w:t>Parkolásüzemeltetővel</w:t>
      </w:r>
      <w:proofErr w:type="spellEnd"/>
      <w:r w:rsidRPr="00D50D3A">
        <w:t xml:space="preserve"> (39/2011. (XII. 12.) rendelet 10. § (2) bekezdés)</w:t>
      </w:r>
    </w:p>
    <w:p w:rsidR="002705D3" w:rsidRPr="00D50D3A" w:rsidRDefault="002705D3" w:rsidP="002705D3">
      <w:pPr>
        <w:numPr>
          <w:ilvl w:val="0"/>
          <w:numId w:val="4"/>
        </w:numPr>
        <w:tabs>
          <w:tab w:val="left" w:pos="360"/>
        </w:tabs>
        <w:jc w:val="both"/>
      </w:pPr>
      <w:r w:rsidRPr="00D50D3A">
        <w:t>dönt a helyben központosított közbeszerzési rendszer keretén belül lefolytatott közbeszerzési eljáráseredményéről (42/2011. (XII. 12.) rendelet 9. §)</w:t>
      </w:r>
    </w:p>
    <w:p w:rsidR="002705D3" w:rsidRPr="00D50D3A" w:rsidRDefault="002705D3" w:rsidP="002705D3">
      <w:pPr>
        <w:numPr>
          <w:ilvl w:val="0"/>
          <w:numId w:val="4"/>
        </w:numPr>
        <w:tabs>
          <w:tab w:val="left" w:pos="360"/>
        </w:tabs>
        <w:jc w:val="both"/>
      </w:pPr>
      <w:r w:rsidRPr="00D50D3A">
        <w:t>dönt a közterület-használati ügyekben és megköti a megállapodást (16/2012. (V.22.) rendelet 4.§ (1) bekezdés),</w:t>
      </w:r>
    </w:p>
    <w:p w:rsidR="002705D3" w:rsidRPr="00D50D3A" w:rsidRDefault="002705D3" w:rsidP="002705D3">
      <w:pPr>
        <w:numPr>
          <w:ilvl w:val="0"/>
          <w:numId w:val="4"/>
        </w:numPr>
        <w:tabs>
          <w:tab w:val="left" w:pos="360"/>
        </w:tabs>
        <w:jc w:val="both"/>
      </w:pPr>
      <w:r w:rsidRPr="00D50D3A">
        <w:t>mérsékelheti a közterület használati díjat 50 %-ot nem meghaladó mértékben a közterület-használat megszüntetése nélkül (</w:t>
      </w:r>
      <w:r w:rsidRPr="00D50D3A">
        <w:rPr>
          <w:color w:val="000000"/>
        </w:rPr>
        <w:t xml:space="preserve">16/2012. (V. 22.) önkormányzati rendelet </w:t>
      </w:r>
      <w:r w:rsidRPr="00D50D3A">
        <w:t xml:space="preserve">16. § (5) bekezdés </w:t>
      </w:r>
      <w:proofErr w:type="spellStart"/>
      <w:r w:rsidRPr="00D50D3A">
        <w:t>aa</w:t>
      </w:r>
      <w:proofErr w:type="spellEnd"/>
      <w:r w:rsidRPr="00D50D3A">
        <w:t>) pontja)</w:t>
      </w:r>
    </w:p>
    <w:p w:rsidR="002705D3" w:rsidRPr="00D50D3A" w:rsidRDefault="002705D3" w:rsidP="002705D3">
      <w:pPr>
        <w:numPr>
          <w:ilvl w:val="0"/>
          <w:numId w:val="4"/>
        </w:numPr>
        <w:tabs>
          <w:tab w:val="left" w:pos="360"/>
        </w:tabs>
        <w:jc w:val="both"/>
      </w:pPr>
      <w:r w:rsidRPr="00D50D3A">
        <w:t>dönt</w:t>
      </w:r>
      <w:r w:rsidRPr="00D50D3A">
        <w:rPr>
          <w:color w:val="000000"/>
        </w:rPr>
        <w:t xml:space="preserve"> </w:t>
      </w:r>
      <w:r w:rsidRPr="00D50D3A">
        <w:t xml:space="preserve">legfeljebb 3 hónapra a közterület-használati díj fizetésének </w:t>
      </w:r>
      <w:proofErr w:type="gramStart"/>
      <w:r w:rsidRPr="00D50D3A">
        <w:t>szüneteltetéséről</w:t>
      </w:r>
      <w:proofErr w:type="gramEnd"/>
      <w:r w:rsidRPr="00D50D3A">
        <w:t xml:space="preserve"> ha a három hónapra fizetendő közterület-használati díj összege nem haladja meg az 500.000 Ft-ot (</w:t>
      </w:r>
      <w:r w:rsidRPr="00D50D3A">
        <w:rPr>
          <w:color w:val="000000"/>
        </w:rPr>
        <w:t xml:space="preserve">16/2012. (V. 22.) önkormányzati rendelet </w:t>
      </w:r>
      <w:r w:rsidRPr="00D50D3A">
        <w:t xml:space="preserve">16. § (5) bekezdés </w:t>
      </w:r>
      <w:proofErr w:type="spellStart"/>
      <w:r w:rsidRPr="00D50D3A">
        <w:t>ba</w:t>
      </w:r>
      <w:proofErr w:type="spellEnd"/>
      <w:r w:rsidRPr="00D50D3A">
        <w:t>) pontja)</w:t>
      </w:r>
    </w:p>
    <w:p w:rsidR="002705D3" w:rsidRPr="00D50D3A" w:rsidRDefault="002705D3" w:rsidP="002705D3">
      <w:pPr>
        <w:numPr>
          <w:ilvl w:val="0"/>
          <w:numId w:val="4"/>
        </w:numPr>
        <w:tabs>
          <w:tab w:val="left" w:pos="360"/>
        </w:tabs>
        <w:jc w:val="both"/>
      </w:pPr>
      <w:r w:rsidRPr="00D50D3A">
        <w:t xml:space="preserve">elengedheti a felhalmozott közterület-használati </w:t>
      </w:r>
      <w:proofErr w:type="gramStart"/>
      <w:r w:rsidRPr="00D50D3A">
        <w:t>díj követelést</w:t>
      </w:r>
      <w:proofErr w:type="gramEnd"/>
      <w:r w:rsidRPr="00D50D3A">
        <w:t xml:space="preserve"> 500.000.- Ft. </w:t>
      </w:r>
      <w:proofErr w:type="gramStart"/>
      <w:r w:rsidRPr="00D50D3A">
        <w:t>alatti</w:t>
      </w:r>
      <w:proofErr w:type="gramEnd"/>
      <w:r w:rsidRPr="00D50D3A">
        <w:t xml:space="preserve"> összeg esetében (</w:t>
      </w:r>
      <w:r w:rsidRPr="00D50D3A">
        <w:rPr>
          <w:color w:val="000000"/>
        </w:rPr>
        <w:t xml:space="preserve">16/2012. (V. 22.) önkormányzati rendelet </w:t>
      </w:r>
      <w:r w:rsidRPr="00D50D3A">
        <w:t>16. § (6) bekezdés a) pontja)</w:t>
      </w:r>
    </w:p>
    <w:p w:rsidR="002705D3" w:rsidRPr="00D50D3A" w:rsidRDefault="002705D3" w:rsidP="002705D3">
      <w:pPr>
        <w:numPr>
          <w:ilvl w:val="0"/>
          <w:numId w:val="4"/>
        </w:numPr>
        <w:tabs>
          <w:tab w:val="left" w:pos="360"/>
        </w:tabs>
        <w:jc w:val="both"/>
        <w:rPr>
          <w:color w:val="000000"/>
        </w:rPr>
      </w:pPr>
      <w:r w:rsidRPr="00D50D3A">
        <w:rPr>
          <w:color w:val="000000"/>
        </w:rPr>
        <w:t xml:space="preserve">„vendéglátás – előkert, terasz” címen a megelőző évben kitelepüléssel érintett társasház előtti területről beszedett közterület-használati díj 30 %-át a polgármester a társasház felújítási alapjának kiegészítésére fordítja </w:t>
      </w:r>
      <w:r w:rsidRPr="00D50D3A">
        <w:t>(</w:t>
      </w:r>
      <w:r w:rsidRPr="00D50D3A">
        <w:rPr>
          <w:color w:val="000000"/>
        </w:rPr>
        <w:t xml:space="preserve">16/2012. (V. 22.) önkormányzati rendelet </w:t>
      </w:r>
      <w:r w:rsidRPr="00D50D3A">
        <w:t>18. §)</w:t>
      </w:r>
    </w:p>
    <w:p w:rsidR="002705D3" w:rsidRPr="00D50D3A" w:rsidRDefault="002705D3" w:rsidP="002705D3">
      <w:pPr>
        <w:numPr>
          <w:ilvl w:val="0"/>
          <w:numId w:val="4"/>
        </w:numPr>
        <w:tabs>
          <w:tab w:val="left" w:pos="360"/>
        </w:tabs>
        <w:jc w:val="both"/>
        <w:rPr>
          <w:color w:val="000000"/>
        </w:rPr>
      </w:pPr>
      <w:r w:rsidRPr="00D50D3A">
        <w:rPr>
          <w:color w:val="000000"/>
        </w:rPr>
        <w:t xml:space="preserve">dönt egyéb - a vagyontárgy tulajdonjogát, használatát nem érintő - tulajdonosi nyilatkozat kiadásáról (21/2012. (VI. 12.) önkormányzati rendelet 8. § (3) bekezdés) </w:t>
      </w:r>
    </w:p>
    <w:p w:rsidR="002705D3" w:rsidRPr="00D50D3A" w:rsidRDefault="002705D3" w:rsidP="002705D3">
      <w:pPr>
        <w:numPr>
          <w:ilvl w:val="0"/>
          <w:numId w:val="4"/>
        </w:numPr>
        <w:tabs>
          <w:tab w:val="left" w:pos="360"/>
        </w:tabs>
        <w:jc w:val="both"/>
        <w:rPr>
          <w:color w:val="000000"/>
        </w:rPr>
      </w:pPr>
      <w:r w:rsidRPr="00D50D3A">
        <w:rPr>
          <w:color w:val="000000"/>
        </w:rPr>
        <w:lastRenderedPageBreak/>
        <w:t>dönt vagyontárgy tulajdonba vételéről, amennyiben a vagyontárgy forgalmi értéke a 15 millió forintot nem haladja meg (21/2012. (VI. 12.) önkormányzati rendelet 10. § (8) bekezdés a) pont)</w:t>
      </w:r>
    </w:p>
    <w:p w:rsidR="002705D3" w:rsidRPr="00D50D3A" w:rsidRDefault="002705D3" w:rsidP="002705D3">
      <w:pPr>
        <w:numPr>
          <w:ilvl w:val="0"/>
          <w:numId w:val="4"/>
        </w:numPr>
        <w:tabs>
          <w:tab w:val="left" w:pos="360"/>
        </w:tabs>
        <w:jc w:val="both"/>
        <w:rPr>
          <w:bCs/>
          <w:iCs/>
        </w:rPr>
      </w:pPr>
      <w:r w:rsidRPr="00D50D3A">
        <w:t xml:space="preserve">dönt </w:t>
      </w:r>
      <w:r w:rsidRPr="00D50D3A">
        <w:rPr>
          <w:bCs/>
          <w:iCs/>
        </w:rPr>
        <w:t>az önkormányzatot megillető követelés elengedéséről, mérsékléséről, jogviták esetén peres és peren kívüli egyezség megkötéséről 1 millió Ft értékhatárig illetve a követelés összegét nem érintő egyezségkötés esetén (</w:t>
      </w:r>
      <w:r w:rsidRPr="00D50D3A">
        <w:rPr>
          <w:color w:val="000000"/>
        </w:rPr>
        <w:t xml:space="preserve">21/2012. (VI. 12.) önkormányzati rendelet </w:t>
      </w:r>
      <w:r w:rsidRPr="00D50D3A">
        <w:rPr>
          <w:bCs/>
          <w:iCs/>
        </w:rPr>
        <w:t>11. § (1) bekezdés a) pont)</w:t>
      </w:r>
    </w:p>
    <w:p w:rsidR="002705D3" w:rsidRPr="00D50D3A" w:rsidRDefault="002705D3" w:rsidP="002705D3">
      <w:pPr>
        <w:numPr>
          <w:ilvl w:val="0"/>
          <w:numId w:val="4"/>
        </w:numPr>
        <w:tabs>
          <w:tab w:val="left" w:pos="360"/>
        </w:tabs>
        <w:jc w:val="both"/>
        <w:rPr>
          <w:bCs/>
          <w:iCs/>
        </w:rPr>
      </w:pPr>
      <w:r w:rsidRPr="00D50D3A">
        <w:t>hozzájárul</w:t>
      </w:r>
      <w:r w:rsidRPr="00D50D3A">
        <w:rPr>
          <w:bCs/>
          <w:iCs/>
        </w:rPr>
        <w:t xml:space="preserve"> behajthatatlan követelés számviteli szabályok szerinti leírásához (</w:t>
      </w:r>
      <w:r w:rsidRPr="00D50D3A">
        <w:rPr>
          <w:color w:val="000000"/>
        </w:rPr>
        <w:t xml:space="preserve">21/2012. (VI. 12.) önkormányzati rendelet </w:t>
      </w:r>
      <w:r w:rsidRPr="00D50D3A">
        <w:rPr>
          <w:bCs/>
          <w:iCs/>
        </w:rPr>
        <w:t xml:space="preserve">11. § (2) bekezdés) </w:t>
      </w:r>
    </w:p>
    <w:p w:rsidR="002705D3" w:rsidRPr="00D50D3A" w:rsidRDefault="002705D3" w:rsidP="002705D3">
      <w:pPr>
        <w:numPr>
          <w:ilvl w:val="0"/>
          <w:numId w:val="4"/>
        </w:numPr>
        <w:tabs>
          <w:tab w:val="left" w:pos="360"/>
        </w:tabs>
        <w:jc w:val="both"/>
        <w:rPr>
          <w:color w:val="000000"/>
        </w:rPr>
      </w:pPr>
      <w:r w:rsidRPr="00D50D3A">
        <w:rPr>
          <w:color w:val="000000"/>
        </w:rPr>
        <w:t>jogosult jelzálog illetve ranghely feletti rendelkezésre amennyiben az önkormányzati követelés döntés időpontjában még fennálló összege nem haladja meg az 5 millió forintot (21/2012. (VI. 12.) önkormányzati rendelet 11. § (4) bekezdés a) pont)</w:t>
      </w:r>
    </w:p>
    <w:p w:rsidR="002705D3" w:rsidRPr="00D50D3A" w:rsidRDefault="002705D3" w:rsidP="002705D3">
      <w:pPr>
        <w:numPr>
          <w:ilvl w:val="0"/>
          <w:numId w:val="4"/>
        </w:numPr>
        <w:tabs>
          <w:tab w:val="left" w:pos="360"/>
        </w:tabs>
        <w:jc w:val="both"/>
      </w:pPr>
      <w:r w:rsidRPr="00D50D3A">
        <w:t xml:space="preserve">dönt az önkormányzat tulajdonában lévő közterületeken végzendő nyomvonal jellegű távközlési célú, közmű célú (gáz, víz, csatorna, elektromos) valamint egyéb vezetékek és műtárgyaik létesítési, használatbavételi, fennmaradási, bontási engedélyhez szükséges tulajdonosi hozzájárulás (nyilatkozat) kiadásáról valamint </w:t>
      </w:r>
      <w:proofErr w:type="gramStart"/>
      <w:r w:rsidRPr="00D50D3A">
        <w:t>a  megállapodás</w:t>
      </w:r>
      <w:proofErr w:type="gramEnd"/>
      <w:r w:rsidRPr="00D50D3A">
        <w:t xml:space="preserve"> megkötéséről (</w:t>
      </w:r>
      <w:r w:rsidRPr="00D50D3A">
        <w:rPr>
          <w:color w:val="000000"/>
        </w:rPr>
        <w:t xml:space="preserve">21/2012. (VI. 12.) önkormányzati rendelet </w:t>
      </w:r>
      <w:r w:rsidRPr="00D50D3A">
        <w:t>13. § (1) bekezdés)</w:t>
      </w:r>
    </w:p>
    <w:p w:rsidR="002705D3" w:rsidRPr="00D50D3A" w:rsidRDefault="002705D3" w:rsidP="002705D3">
      <w:pPr>
        <w:numPr>
          <w:ilvl w:val="0"/>
          <w:numId w:val="4"/>
        </w:numPr>
        <w:tabs>
          <w:tab w:val="left" w:pos="360"/>
        </w:tabs>
        <w:jc w:val="both"/>
      </w:pPr>
      <w:r w:rsidRPr="00D50D3A">
        <w:t>dönt a távközlési, közmű és egyéb nyomvonalas vezetékek létesítésért járó kártalanítás feltételeiről és módjáról és mértékéről a Képviselő-testület által meghatározott normatív keretek között (</w:t>
      </w:r>
      <w:r w:rsidRPr="00D50D3A">
        <w:rPr>
          <w:color w:val="000000"/>
        </w:rPr>
        <w:t xml:space="preserve">21/2012. (VI. 12.) önkormányzati rendelet </w:t>
      </w:r>
      <w:r w:rsidRPr="00D50D3A">
        <w:t>13. § (5) bekezdés)</w:t>
      </w:r>
    </w:p>
    <w:p w:rsidR="002705D3" w:rsidRPr="00D50D3A" w:rsidRDefault="002705D3" w:rsidP="002705D3">
      <w:pPr>
        <w:numPr>
          <w:ilvl w:val="0"/>
          <w:numId w:val="4"/>
        </w:numPr>
        <w:tabs>
          <w:tab w:val="left" w:pos="360"/>
        </w:tabs>
        <w:jc w:val="both"/>
        <w:rPr>
          <w:color w:val="000000"/>
        </w:rPr>
      </w:pPr>
      <w:r w:rsidRPr="00D50D3A">
        <w:t xml:space="preserve">dönt </w:t>
      </w:r>
      <w:r w:rsidRPr="00D50D3A">
        <w:rPr>
          <w:color w:val="000000"/>
        </w:rPr>
        <w:t>korlátozottan forgalomképes önkormányzati vagyon, elidegenítéséről, megterheléséről, vagy gazdasági társaságba való beviteléről 5 millió forint értékhatárig (21/2012. (VI. 12.) önkormányzati rendelet 14. § (1) bekezdés a) pont)</w:t>
      </w:r>
    </w:p>
    <w:p w:rsidR="002705D3" w:rsidRPr="00D50D3A" w:rsidRDefault="002705D3" w:rsidP="002705D3">
      <w:pPr>
        <w:numPr>
          <w:ilvl w:val="0"/>
          <w:numId w:val="4"/>
        </w:numPr>
        <w:tabs>
          <w:tab w:val="left" w:pos="360"/>
        </w:tabs>
        <w:jc w:val="both"/>
      </w:pPr>
      <w:r w:rsidRPr="00D50D3A">
        <w:t xml:space="preserve">dönt a korlátozottan forgalomképes önkormányzati vagyon 1 évet </w:t>
      </w:r>
      <w:proofErr w:type="gramStart"/>
      <w:r w:rsidRPr="00D50D3A">
        <w:t>meghaladó</w:t>
      </w:r>
      <w:proofErr w:type="gramEnd"/>
      <w:r w:rsidRPr="00D50D3A">
        <w:t xml:space="preserve"> de legfeljebb 5 éves időszakra történő hasznosításáról (</w:t>
      </w:r>
      <w:r w:rsidRPr="00D50D3A">
        <w:rPr>
          <w:color w:val="000000"/>
        </w:rPr>
        <w:t xml:space="preserve">21/2012. (VI. 12.) önkormányzati rendelet </w:t>
      </w:r>
      <w:r w:rsidRPr="00D50D3A">
        <w:t>14. § (6) bekezdés b) pont),</w:t>
      </w:r>
    </w:p>
    <w:p w:rsidR="002705D3" w:rsidRPr="00D50D3A" w:rsidRDefault="002705D3" w:rsidP="002705D3">
      <w:pPr>
        <w:numPr>
          <w:ilvl w:val="0"/>
          <w:numId w:val="4"/>
        </w:numPr>
        <w:tabs>
          <w:tab w:val="left" w:pos="360"/>
        </w:tabs>
        <w:jc w:val="both"/>
      </w:pPr>
      <w:r w:rsidRPr="00D50D3A">
        <w:t xml:space="preserve">dönt 5 </w:t>
      </w:r>
      <w:proofErr w:type="spellStart"/>
      <w:r w:rsidRPr="00D50D3A">
        <w:t>MFt</w:t>
      </w:r>
      <w:proofErr w:type="spellEnd"/>
      <w:r w:rsidRPr="00D50D3A">
        <w:t xml:space="preserve"> értékhatár alatt forgalomképes vagyon elidegenítéséről, megterheléséről, gazdasági társaságba való bevitelről (</w:t>
      </w:r>
      <w:r w:rsidRPr="00D50D3A">
        <w:rPr>
          <w:color w:val="000000"/>
        </w:rPr>
        <w:t xml:space="preserve">21/2012. (VI. 12.) önkormányzati rendelet </w:t>
      </w:r>
      <w:r w:rsidRPr="00D50D3A">
        <w:t>15. § (1) bekezdés a) pont),</w:t>
      </w:r>
    </w:p>
    <w:p w:rsidR="002705D3" w:rsidRPr="00D50D3A" w:rsidRDefault="002705D3" w:rsidP="002705D3">
      <w:pPr>
        <w:numPr>
          <w:ilvl w:val="0"/>
          <w:numId w:val="4"/>
        </w:numPr>
        <w:tabs>
          <w:tab w:val="left" w:pos="360"/>
        </w:tabs>
        <w:jc w:val="both"/>
      </w:pPr>
      <w:r w:rsidRPr="00D50D3A">
        <w:t>dönt forgalomképes vagyon legfeljebb 1 éves időtartamra vonatkozó hasznosításáról (</w:t>
      </w:r>
      <w:r w:rsidRPr="00D50D3A">
        <w:rPr>
          <w:color w:val="000000"/>
        </w:rPr>
        <w:t xml:space="preserve">21/2012. (VI. 12.) önkormányzati rendelet </w:t>
      </w:r>
      <w:r w:rsidRPr="00D50D3A">
        <w:t>15. § (4) bekezdés a) pont)</w:t>
      </w:r>
    </w:p>
    <w:p w:rsidR="002705D3" w:rsidRPr="00D50D3A" w:rsidRDefault="002705D3" w:rsidP="002705D3">
      <w:pPr>
        <w:numPr>
          <w:ilvl w:val="0"/>
          <w:numId w:val="4"/>
        </w:numPr>
        <w:tabs>
          <w:tab w:val="left" w:pos="360"/>
        </w:tabs>
        <w:jc w:val="both"/>
      </w:pPr>
      <w:r w:rsidRPr="00D50D3A">
        <w:t>dönt 5 millió forint értékhatárt meg nem haladó korlátozottan forgalomképes törzsvagyon és forgalomképes üzleti vagyon esetében a vagyonkezelői szerződés megkötéséről (</w:t>
      </w:r>
      <w:r w:rsidRPr="00D50D3A">
        <w:rPr>
          <w:color w:val="000000"/>
        </w:rPr>
        <w:t xml:space="preserve">21/2012. (VI. 12.) önkormányzati rendelet </w:t>
      </w:r>
      <w:r w:rsidRPr="00D50D3A">
        <w:t>17. § (5) bekezdés a) pont)</w:t>
      </w:r>
    </w:p>
    <w:p w:rsidR="002705D3" w:rsidRPr="00D50D3A" w:rsidRDefault="002705D3" w:rsidP="002705D3">
      <w:pPr>
        <w:numPr>
          <w:ilvl w:val="0"/>
          <w:numId w:val="4"/>
        </w:numPr>
        <w:tabs>
          <w:tab w:val="left" w:pos="360"/>
        </w:tabs>
        <w:jc w:val="both"/>
      </w:pPr>
      <w:r w:rsidRPr="00D50D3A">
        <w:t>dönt a költségvetési rendeletekben a bizottságokhoz nem rendelt kiadási előirányzatok közötti, címeken belüli átcsoportosításról a kötelezettségvállalással csökkentett kiemelt kiadási előirányzat összeghatáráig (2/2013. (II. 19.) rendelet 20. § (1) bekezdés),</w:t>
      </w:r>
    </w:p>
    <w:p w:rsidR="002705D3" w:rsidRPr="00D50D3A" w:rsidRDefault="002705D3" w:rsidP="002705D3">
      <w:pPr>
        <w:numPr>
          <w:ilvl w:val="0"/>
          <w:numId w:val="4"/>
        </w:numPr>
        <w:tabs>
          <w:tab w:val="left" w:pos="360"/>
        </w:tabs>
        <w:jc w:val="both"/>
      </w:pPr>
      <w:r w:rsidRPr="00D50D3A">
        <w:t>dönt a kötelező- és önként vállalt feladatra vonatkozóan megosztottan tervezett feladat, kötelező- és önként vállalt feladat szerinti kiadási előirányzatai közötti átcsoportosításról (2/2013. (II. 19.) rendelet 20. § (3) bekezdés)</w:t>
      </w:r>
    </w:p>
    <w:p w:rsidR="002705D3" w:rsidRPr="00D50D3A" w:rsidRDefault="002705D3" w:rsidP="002705D3">
      <w:pPr>
        <w:numPr>
          <w:ilvl w:val="0"/>
          <w:numId w:val="4"/>
        </w:numPr>
        <w:tabs>
          <w:tab w:val="left" w:pos="360"/>
        </w:tabs>
        <w:jc w:val="both"/>
      </w:pPr>
      <w:r w:rsidRPr="00D50D3A">
        <w:t>5 millió forint összeghatárig rendelkezik az általános tartalékról (2/2013. (II. 19.) rendelet 21. §)</w:t>
      </w:r>
    </w:p>
    <w:p w:rsidR="002705D3" w:rsidRPr="00D50D3A" w:rsidRDefault="002705D3" w:rsidP="002705D3">
      <w:pPr>
        <w:numPr>
          <w:ilvl w:val="0"/>
          <w:numId w:val="4"/>
        </w:numPr>
        <w:tabs>
          <w:tab w:val="left" w:pos="360"/>
        </w:tabs>
        <w:jc w:val="both"/>
      </w:pPr>
      <w:r w:rsidRPr="00D50D3A">
        <w:t>dönt kötelezettségvállalásról a Lakáslemondás térítéssel, Lakásfelújítás szanálási célra és Lakás és helyiség vásárlásra céljából a többletbevételek terhére (2/2013. (II. 19.) rendelet 22. §)</w:t>
      </w:r>
    </w:p>
    <w:p w:rsidR="002705D3" w:rsidRPr="00D50D3A" w:rsidRDefault="002705D3" w:rsidP="002705D3">
      <w:pPr>
        <w:numPr>
          <w:ilvl w:val="0"/>
          <w:numId w:val="4"/>
        </w:numPr>
        <w:tabs>
          <w:tab w:val="left" w:pos="360"/>
        </w:tabs>
        <w:jc w:val="both"/>
      </w:pPr>
      <w:r w:rsidRPr="00D50D3A">
        <w:t>átmeneti intézkedést hozhat az állampolgárok élet- és vagyonbiztonságát veszélyeztető elemi csapás, illetőleg következményeinek elhárítása érdekében (veszély helyzetben) (2/2013. (II. 19.) rendelet 23. § (1) bekezdés)</w:t>
      </w:r>
    </w:p>
    <w:p w:rsidR="002705D3" w:rsidRPr="00D50D3A" w:rsidRDefault="002705D3" w:rsidP="002705D3">
      <w:pPr>
        <w:numPr>
          <w:ilvl w:val="0"/>
          <w:numId w:val="4"/>
        </w:numPr>
        <w:tabs>
          <w:tab w:val="left" w:pos="360"/>
        </w:tabs>
        <w:jc w:val="both"/>
      </w:pPr>
      <w:r w:rsidRPr="00D50D3A">
        <w:lastRenderedPageBreak/>
        <w:t>dönt legfeljebb 4 millió forint összegű, öt év alatt egyenlő részletekben visszatérítendő, kamatmentes támogatás nyújtásáról a társasház összes lakásának és helyiségének rendeltetésszerű használatát lehetetlenné tevő állapot megszüntetésére – ha a tulajdonosi közösséget, illetve a szolgáltatót az állapot bekövetkezésében mulasztás nem terheli – a tulajdonközösség rendelkezésére álló források kiegészítésére (2/2013. (II. 19.) rendelet 23. § (2) bekezdés)</w:t>
      </w:r>
    </w:p>
    <w:p w:rsidR="002705D3" w:rsidRPr="00D50D3A" w:rsidRDefault="002705D3" w:rsidP="002705D3">
      <w:pPr>
        <w:numPr>
          <w:ilvl w:val="0"/>
          <w:numId w:val="4"/>
        </w:numPr>
        <w:tabs>
          <w:tab w:val="left" w:pos="360"/>
        </w:tabs>
        <w:jc w:val="both"/>
      </w:pPr>
      <w:r w:rsidRPr="00D50D3A">
        <w:t>likviditási keretszerződést ír alá az önkormányzat fizetőképességének folyamatos biztosítása érdekében a költségvetésben szereplő feladatokra, célokra az esetenkénti szükségletnek megfelelő felhasználásra legfeljebb 500 millió Ft összegben (2/2013. (II. 19.) rendelet 23. § (3) bekezdés)</w:t>
      </w:r>
    </w:p>
    <w:p w:rsidR="002705D3" w:rsidRPr="00D50D3A" w:rsidRDefault="002705D3" w:rsidP="002705D3">
      <w:pPr>
        <w:pStyle w:val="Cmsor1"/>
      </w:pPr>
      <w:r w:rsidRPr="00D50D3A">
        <w:t xml:space="preserve">II. </w:t>
      </w:r>
      <w:proofErr w:type="gramStart"/>
      <w:r w:rsidRPr="00D50D3A">
        <w:t>A</w:t>
      </w:r>
      <w:proofErr w:type="gramEnd"/>
      <w:r w:rsidRPr="00D50D3A">
        <w:t xml:space="preserve"> bizottságok</w:t>
      </w:r>
    </w:p>
    <w:p w:rsidR="002705D3" w:rsidRPr="00D50D3A" w:rsidRDefault="002705D3" w:rsidP="002705D3">
      <w:pPr>
        <w:pStyle w:val="Cmsor2"/>
        <w:spacing w:before="0" w:after="0"/>
        <w:rPr>
          <w:rFonts w:ascii="Times New Roman" w:hAnsi="Times New Roman" w:cs="Times New Roman"/>
          <w:i w:val="0"/>
          <w:iCs w:val="0"/>
        </w:rPr>
      </w:pPr>
      <w:r w:rsidRPr="00D50D3A">
        <w:rPr>
          <w:rFonts w:ascii="Times New Roman" w:hAnsi="Times New Roman" w:cs="Times New Roman"/>
          <w:i w:val="0"/>
          <w:iCs w:val="0"/>
        </w:rPr>
        <w:t>Minden bizottság:</w:t>
      </w:r>
    </w:p>
    <w:p w:rsidR="002705D3" w:rsidRPr="00D50D3A" w:rsidRDefault="002705D3" w:rsidP="002705D3"/>
    <w:p w:rsidR="002705D3" w:rsidRPr="00D50D3A" w:rsidRDefault="002705D3" w:rsidP="002705D3">
      <w:pPr>
        <w:numPr>
          <w:ilvl w:val="0"/>
          <w:numId w:val="1"/>
        </w:numPr>
        <w:jc w:val="both"/>
      </w:pPr>
      <w:r w:rsidRPr="00D50D3A">
        <w:t>dönt a költségvetési rendelet szerint a bizottság döntési hatáskörébe tartozó kiadási előirányzatok, pénzügyi keretek felhasználásáról, átcsoportosításáról, pályázatok kiírásáról és elbírálásáról,</w:t>
      </w:r>
    </w:p>
    <w:p w:rsidR="002705D3" w:rsidRPr="00D50D3A" w:rsidRDefault="002705D3" w:rsidP="002705D3">
      <w:pPr>
        <w:numPr>
          <w:ilvl w:val="0"/>
          <w:numId w:val="1"/>
        </w:numPr>
        <w:jc w:val="both"/>
      </w:pPr>
      <w:r w:rsidRPr="00D50D3A">
        <w:t xml:space="preserve"> dönt a szakterületén működő költségvetési szervek SZMSZ-ének elfogadásáról,</w:t>
      </w:r>
    </w:p>
    <w:p w:rsidR="002705D3" w:rsidRPr="00D50D3A" w:rsidRDefault="002705D3" w:rsidP="002705D3">
      <w:pPr>
        <w:rPr>
          <w:b/>
        </w:rPr>
      </w:pPr>
    </w:p>
    <w:p w:rsidR="002705D3" w:rsidRPr="00D50D3A" w:rsidRDefault="002705D3" w:rsidP="002705D3">
      <w:pPr>
        <w:jc w:val="both"/>
        <w:rPr>
          <w:b/>
          <w:bCs/>
        </w:rPr>
      </w:pPr>
      <w:r w:rsidRPr="00D50D3A">
        <w:rPr>
          <w:b/>
          <w:bCs/>
        </w:rPr>
        <w:t>1. Gazdasági Bizottság:</w:t>
      </w:r>
    </w:p>
    <w:p w:rsidR="002705D3" w:rsidRPr="00D50D3A" w:rsidRDefault="002705D3" w:rsidP="002705D3">
      <w:pPr>
        <w:ind w:left="360"/>
        <w:jc w:val="both"/>
        <w:rPr>
          <w:bCs/>
        </w:rPr>
      </w:pPr>
    </w:p>
    <w:p w:rsidR="002705D3" w:rsidRPr="00D50D3A" w:rsidRDefault="002705D3" w:rsidP="002705D3">
      <w:pPr>
        <w:numPr>
          <w:ilvl w:val="1"/>
          <w:numId w:val="3"/>
        </w:numPr>
        <w:tabs>
          <w:tab w:val="clear" w:pos="1440"/>
          <w:tab w:val="num" w:pos="720"/>
        </w:tabs>
        <w:ind w:left="720"/>
        <w:jc w:val="both"/>
      </w:pPr>
      <w:r w:rsidRPr="00D50D3A">
        <w:t>dönt értékelemző felkéréséről minden nettó 90 millió forint feletti beruházás esetében (37/2004. (XI. 17.) rendelet 3. § (3) bekezdés),</w:t>
      </w:r>
    </w:p>
    <w:p w:rsidR="002705D3" w:rsidRPr="00D50D3A" w:rsidRDefault="002705D3" w:rsidP="002705D3">
      <w:pPr>
        <w:numPr>
          <w:ilvl w:val="1"/>
          <w:numId w:val="3"/>
        </w:numPr>
        <w:tabs>
          <w:tab w:val="clear" w:pos="1440"/>
          <w:tab w:val="num" w:pos="720"/>
        </w:tabs>
        <w:ind w:left="720"/>
        <w:jc w:val="both"/>
      </w:pPr>
      <w:r w:rsidRPr="00D50D3A">
        <w:t>dönt építésügyi szakértő felkéréséről a nettó 90 millió forint feletti beruházások esetén (37/2004. (XI. 17.) rendelet 9. § (5) bekezdés).”</w:t>
      </w:r>
    </w:p>
    <w:p w:rsidR="002705D3" w:rsidRPr="00D50D3A" w:rsidRDefault="002705D3" w:rsidP="002705D3">
      <w:pPr>
        <w:numPr>
          <w:ilvl w:val="1"/>
          <w:numId w:val="3"/>
        </w:numPr>
        <w:tabs>
          <w:tab w:val="clear" w:pos="1440"/>
          <w:tab w:val="num" w:pos="720"/>
        </w:tabs>
        <w:ind w:left="720"/>
        <w:jc w:val="both"/>
      </w:pPr>
      <w:r w:rsidRPr="00D50D3A">
        <w:t>dönt a lakások és helyiségek közötti átminősítésről 30 m2-ig (7/2006. (III.10.) 2.§ (3) bekezdés,</w:t>
      </w:r>
    </w:p>
    <w:p w:rsidR="002705D3" w:rsidRPr="00D50D3A" w:rsidRDefault="002705D3" w:rsidP="002705D3">
      <w:pPr>
        <w:numPr>
          <w:ilvl w:val="1"/>
          <w:numId w:val="3"/>
        </w:numPr>
        <w:tabs>
          <w:tab w:val="clear" w:pos="1440"/>
          <w:tab w:val="num" w:pos="720"/>
        </w:tabs>
        <w:ind w:left="720"/>
        <w:jc w:val="both"/>
      </w:pPr>
      <w:r w:rsidRPr="00D50D3A">
        <w:t xml:space="preserve">dönt az előzetes költségvetés alapján 1.000.000 forint felett a lakás/helyiség bérbeadója és bérlője közti azon megállapodás megkötéséről, </w:t>
      </w:r>
      <w:r w:rsidRPr="00D50D3A">
        <w:rPr>
          <w:color w:val="000000"/>
        </w:rPr>
        <w:t xml:space="preserve">hogy a bérlő által elvégzendő munkák számlákkal igazolt költségét részben vagy egészben az önkormányzat viseli, továbbá a bérbeszámítás mértékéről, módjáról </w:t>
      </w:r>
      <w:r w:rsidRPr="00D50D3A">
        <w:t>(7/2006.(III.10.) rendelet 2.§ (5) bekezdés)</w:t>
      </w:r>
    </w:p>
    <w:p w:rsidR="002705D3" w:rsidRPr="00D50D3A" w:rsidRDefault="002705D3" w:rsidP="002705D3">
      <w:pPr>
        <w:numPr>
          <w:ilvl w:val="1"/>
          <w:numId w:val="3"/>
        </w:numPr>
        <w:tabs>
          <w:tab w:val="clear" w:pos="1440"/>
          <w:tab w:val="num" w:pos="720"/>
        </w:tabs>
        <w:ind w:left="720"/>
        <w:jc w:val="both"/>
      </w:pPr>
      <w:r w:rsidRPr="00D50D3A">
        <w:t>dönt meghatározott esetekben lakás bérbeadásáról (7/2006.(III.10.) rendelet 4.§ (3), (4), bekezdés),</w:t>
      </w:r>
    </w:p>
    <w:p w:rsidR="002705D3" w:rsidRPr="00D50D3A" w:rsidRDefault="002705D3" w:rsidP="002705D3">
      <w:pPr>
        <w:numPr>
          <w:ilvl w:val="1"/>
          <w:numId w:val="3"/>
        </w:numPr>
        <w:tabs>
          <w:tab w:val="clear" w:pos="1440"/>
          <w:tab w:val="num" w:pos="720"/>
        </w:tabs>
        <w:ind w:left="720"/>
        <w:jc w:val="both"/>
      </w:pPr>
      <w:r w:rsidRPr="00D50D3A">
        <w:t xml:space="preserve">évente két alkalommal meghatározza az állami gondozottak részére </w:t>
      </w:r>
      <w:proofErr w:type="spellStart"/>
      <w:r w:rsidRPr="00D50D3A">
        <w:t>bérbeadható</w:t>
      </w:r>
      <w:proofErr w:type="spellEnd"/>
      <w:r w:rsidRPr="00D50D3A">
        <w:t xml:space="preserve"> lakások címeit (7/2006.(III.10.) rendelet 4.§ (5) bekezdése),</w:t>
      </w:r>
    </w:p>
    <w:p w:rsidR="002705D3" w:rsidRPr="00D50D3A" w:rsidRDefault="002705D3" w:rsidP="002705D3">
      <w:pPr>
        <w:numPr>
          <w:ilvl w:val="1"/>
          <w:numId w:val="3"/>
        </w:numPr>
        <w:tabs>
          <w:tab w:val="clear" w:pos="1440"/>
          <w:tab w:val="num" w:pos="720"/>
        </w:tabs>
        <w:ind w:left="720"/>
        <w:jc w:val="both"/>
      </w:pPr>
      <w:r w:rsidRPr="00D50D3A">
        <w:t>dönt a lakásra vonatkozó házfelügyelői szolgálati jelleg létesítéséről vagy törléséről (7/2006. (III. 10.) rendelet 4.§ (8) bekezdés),</w:t>
      </w:r>
    </w:p>
    <w:p w:rsidR="002705D3" w:rsidRPr="00D50D3A" w:rsidRDefault="002705D3" w:rsidP="002705D3">
      <w:pPr>
        <w:numPr>
          <w:ilvl w:val="1"/>
          <w:numId w:val="3"/>
        </w:numPr>
        <w:tabs>
          <w:tab w:val="clear" w:pos="1440"/>
          <w:tab w:val="num" w:pos="720"/>
        </w:tabs>
        <w:ind w:left="720"/>
        <w:jc w:val="both"/>
      </w:pPr>
      <w:r w:rsidRPr="00D50D3A">
        <w:t>dönt pályázaton kívül a bérlő részére a bérleti szerződés közös megegyezéssel való megszüntetésével egyidejűleg másik önkormányzati lakás bérbeadásáról (7/2006.(III.10.) rendelet 7/</w:t>
      </w:r>
      <w:proofErr w:type="gramStart"/>
      <w:r w:rsidRPr="00D50D3A">
        <w:t>A</w:t>
      </w:r>
      <w:proofErr w:type="gramEnd"/>
      <w:r w:rsidRPr="00D50D3A">
        <w:t>.§ (1) bekezdése),</w:t>
      </w:r>
    </w:p>
    <w:p w:rsidR="002705D3" w:rsidRPr="00D50D3A" w:rsidRDefault="002705D3" w:rsidP="002705D3">
      <w:pPr>
        <w:numPr>
          <w:ilvl w:val="1"/>
          <w:numId w:val="3"/>
        </w:numPr>
        <w:tabs>
          <w:tab w:val="clear" w:pos="1440"/>
          <w:tab w:val="num" w:pos="720"/>
        </w:tabs>
        <w:ind w:left="720"/>
        <w:jc w:val="both"/>
      </w:pPr>
      <w:r w:rsidRPr="00D50D3A">
        <w:t>dönt a határozatlan idejű bérleti szerződés megkötéséről, ha a 36 hónapos határozott idejű bérleti szerződés időtartama lejárt, és nem érkezett a bérlő ellen panasz, valamint nem áll fenn felmondási ok (7/2006. (III.10.) rendelet 7/</w:t>
      </w:r>
      <w:proofErr w:type="gramStart"/>
      <w:r w:rsidRPr="00D50D3A">
        <w:t>A</w:t>
      </w:r>
      <w:proofErr w:type="gramEnd"/>
      <w:r w:rsidRPr="00D50D3A">
        <w:t>.§ (4) bekezdés),</w:t>
      </w:r>
    </w:p>
    <w:p w:rsidR="002705D3" w:rsidRPr="00D50D3A" w:rsidRDefault="002705D3" w:rsidP="002705D3">
      <w:pPr>
        <w:numPr>
          <w:ilvl w:val="1"/>
          <w:numId w:val="3"/>
        </w:numPr>
        <w:tabs>
          <w:tab w:val="clear" w:pos="1440"/>
          <w:tab w:val="num" w:pos="720"/>
        </w:tabs>
        <w:ind w:left="720"/>
        <w:jc w:val="both"/>
      </w:pPr>
      <w:r w:rsidRPr="00D50D3A">
        <w:t>dönt a határozatlan idejű bérleti szerződés megkötéséről, ha az ideiglenes elhelyezés időtartama elérte a 2 évet, illetve a 7/2006. (III.10.) rendelet 9.§ (6) és (7) bekezdés esetében az 5 évet, és az elhelyezett személlyel szemben nem áll fenn felmondási ok (7/2006. (III.10.) rendelet 9.§ (5) bekezdés),</w:t>
      </w:r>
    </w:p>
    <w:p w:rsidR="002705D3" w:rsidRPr="00D50D3A" w:rsidRDefault="002705D3" w:rsidP="002705D3">
      <w:pPr>
        <w:numPr>
          <w:ilvl w:val="1"/>
          <w:numId w:val="3"/>
        </w:numPr>
        <w:tabs>
          <w:tab w:val="clear" w:pos="1440"/>
          <w:tab w:val="num" w:pos="720"/>
        </w:tabs>
        <w:ind w:left="720"/>
        <w:jc w:val="both"/>
      </w:pPr>
      <w:r w:rsidRPr="00D50D3A">
        <w:t xml:space="preserve">dönt az önkormányzat és intézményeiben, gazdasági társaságainál, továbbá a kerületi rendőrkapitányságon az ellátási kötelezettség teljesítése érdekében dolgozók </w:t>
      </w:r>
      <w:r w:rsidRPr="00D50D3A">
        <w:lastRenderedPageBreak/>
        <w:t>elhelyezéséről, a munkaviszony fennállásáig (7/2006. (III. 10.) rendelet 9.§ (6) és (7) bekezdés),</w:t>
      </w:r>
    </w:p>
    <w:p w:rsidR="002705D3" w:rsidRPr="00D50D3A" w:rsidRDefault="002705D3" w:rsidP="002705D3">
      <w:pPr>
        <w:numPr>
          <w:ilvl w:val="1"/>
          <w:numId w:val="3"/>
        </w:numPr>
        <w:tabs>
          <w:tab w:val="clear" w:pos="1440"/>
          <w:tab w:val="num" w:pos="720"/>
        </w:tabs>
        <w:ind w:left="720"/>
        <w:jc w:val="both"/>
      </w:pPr>
      <w:r w:rsidRPr="00D50D3A">
        <w:t>dönt a lakásbérlet közös megegyezéssel történő megszüntetése esetén a pénzbeli térítés mértékéről (7/2006. (III. 10.) rendelet 11.§ (2/</w:t>
      </w:r>
      <w:proofErr w:type="gramStart"/>
      <w:r w:rsidRPr="00D50D3A">
        <w:t>A</w:t>
      </w:r>
      <w:proofErr w:type="gramEnd"/>
      <w:r w:rsidRPr="00D50D3A">
        <w:t>) bekezdés),</w:t>
      </w:r>
    </w:p>
    <w:p w:rsidR="002705D3" w:rsidRPr="00D50D3A" w:rsidRDefault="002705D3" w:rsidP="002705D3">
      <w:pPr>
        <w:numPr>
          <w:ilvl w:val="1"/>
          <w:numId w:val="3"/>
        </w:numPr>
        <w:tabs>
          <w:tab w:val="clear" w:pos="1440"/>
          <w:tab w:val="num" w:pos="720"/>
        </w:tabs>
        <w:ind w:left="720"/>
        <w:jc w:val="both"/>
      </w:pPr>
      <w:r w:rsidRPr="00D50D3A">
        <w:t>dönt a bérbeadásról, ha a megüresedett lakrészre több visszamaradt társbérlő tart igényt (7/2006. (III. 10.) rendelet 13.§ (6), 26.§ (5) bekezdés),</w:t>
      </w:r>
    </w:p>
    <w:p w:rsidR="002705D3" w:rsidRPr="00D50D3A" w:rsidRDefault="002705D3" w:rsidP="002705D3">
      <w:pPr>
        <w:numPr>
          <w:ilvl w:val="1"/>
          <w:numId w:val="3"/>
        </w:numPr>
        <w:tabs>
          <w:tab w:val="clear" w:pos="1440"/>
          <w:tab w:val="num" w:pos="720"/>
        </w:tabs>
        <w:ind w:left="720"/>
        <w:jc w:val="both"/>
      </w:pPr>
      <w:r w:rsidRPr="00D50D3A">
        <w:t xml:space="preserve">dönt üres szükséglakás elidegenítéséről, lakásállományból való </w:t>
      </w:r>
      <w:proofErr w:type="gramStart"/>
      <w:r w:rsidRPr="00D50D3A">
        <w:t>törléséről</w:t>
      </w:r>
      <w:proofErr w:type="gramEnd"/>
      <w:r w:rsidRPr="00D50D3A">
        <w:t xml:space="preserve"> ha a csatolást egy bérlő sem kéri, vagy a bérbeadásáról, ha a csatolást több bérlő kéri (7/2006. (III. 10.) rendelet 19.§ (5) bekezdés),</w:t>
      </w:r>
    </w:p>
    <w:p w:rsidR="002705D3" w:rsidRPr="00D50D3A" w:rsidRDefault="002705D3" w:rsidP="002705D3">
      <w:pPr>
        <w:numPr>
          <w:ilvl w:val="1"/>
          <w:numId w:val="3"/>
        </w:numPr>
        <w:tabs>
          <w:tab w:val="clear" w:pos="1440"/>
          <w:tab w:val="num" w:pos="720"/>
        </w:tabs>
        <w:ind w:left="720"/>
        <w:jc w:val="both"/>
      </w:pPr>
      <w:r w:rsidRPr="00D50D3A">
        <w:t xml:space="preserve">bérlői kérelemre hozzájárulhat az </w:t>
      </w:r>
      <w:r w:rsidRPr="00D50D3A">
        <w:rPr>
          <w:bCs/>
        </w:rPr>
        <w:t>egyszobás komfort nélküli, félkomfortos komfortfokozatú és legfeljebb 30 m2-es lakások</w:t>
      </w:r>
      <w:r w:rsidRPr="00D50D3A">
        <w:t>– műszaki csatolásáról (7/2006. (III. 10.) rendelet 19.§ (6) bekezdés),</w:t>
      </w:r>
    </w:p>
    <w:p w:rsidR="002705D3" w:rsidRPr="00D50D3A" w:rsidRDefault="002705D3" w:rsidP="002705D3">
      <w:pPr>
        <w:numPr>
          <w:ilvl w:val="1"/>
          <w:numId w:val="3"/>
        </w:numPr>
        <w:tabs>
          <w:tab w:val="clear" w:pos="1440"/>
          <w:tab w:val="num" w:pos="720"/>
        </w:tabs>
        <w:ind w:left="720"/>
        <w:jc w:val="both"/>
      </w:pPr>
      <w:r w:rsidRPr="00D50D3A">
        <w:t>piaci alapon bérbe adott lakás esetén hozzájárul a pályázat kiírásához (7/2006. (III. 10.) rendelet 19/</w:t>
      </w:r>
      <w:proofErr w:type="gramStart"/>
      <w:r w:rsidRPr="00D50D3A">
        <w:t>A</w:t>
      </w:r>
      <w:proofErr w:type="gramEnd"/>
      <w:r w:rsidRPr="00D50D3A">
        <w:t xml:space="preserve">. § (7) bekezdés; </w:t>
      </w:r>
      <w:r w:rsidRPr="00D50D3A">
        <w:rPr>
          <w:color w:val="000000"/>
        </w:rPr>
        <w:t xml:space="preserve">amennyiben több pályázó azonos ajánlatot tesz, a nyertes személyéről a pályázó jövedelmi helyzetét, a lakásba együttköltözők számát figyelembe véve dönt. </w:t>
      </w:r>
      <w:r w:rsidRPr="00D50D3A">
        <w:t>(7/2006. (III. 10.) rendelet 19/</w:t>
      </w:r>
      <w:proofErr w:type="gramStart"/>
      <w:r w:rsidRPr="00D50D3A">
        <w:t>A</w:t>
      </w:r>
      <w:proofErr w:type="gramEnd"/>
      <w:r w:rsidRPr="00D50D3A">
        <w:t>. § (9) bekezdés)</w:t>
      </w:r>
    </w:p>
    <w:p w:rsidR="002705D3" w:rsidRPr="00D50D3A" w:rsidRDefault="002705D3" w:rsidP="002705D3">
      <w:pPr>
        <w:numPr>
          <w:ilvl w:val="1"/>
          <w:numId w:val="3"/>
        </w:numPr>
        <w:tabs>
          <w:tab w:val="clear" w:pos="1440"/>
          <w:tab w:val="num" w:pos="720"/>
        </w:tabs>
        <w:ind w:left="720"/>
        <w:jc w:val="both"/>
      </w:pPr>
      <w:r w:rsidRPr="00D50D3A">
        <w:t>dönt az értéknövelő beruházás elvégzésére irányuló bérbeadó és bérlő közötti megállapodásokról (7/2006. (III. 10.) rendelet 20.§ (6) bekezdés),</w:t>
      </w:r>
    </w:p>
    <w:p w:rsidR="002705D3" w:rsidRPr="00D50D3A" w:rsidRDefault="002705D3" w:rsidP="002705D3">
      <w:pPr>
        <w:numPr>
          <w:ilvl w:val="1"/>
          <w:numId w:val="3"/>
        </w:numPr>
        <w:tabs>
          <w:tab w:val="clear" w:pos="1440"/>
          <w:tab w:val="num" w:pos="720"/>
        </w:tabs>
        <w:ind w:left="720"/>
        <w:jc w:val="both"/>
      </w:pPr>
      <w:r w:rsidRPr="00D50D3A">
        <w:t>dönt helyiség pályázat nélküli bérbeadásáról amennyiben a Képviselő-testület a tevékenységet közérdekűnek nyilvánította, vagy kiemelten közhasznú tevékenységet folytató szervezeteknek (7/2006. (III. 10.) 21.§ (1) bekezdés b) pont)</w:t>
      </w:r>
    </w:p>
    <w:p w:rsidR="002705D3" w:rsidRPr="00D50D3A" w:rsidRDefault="002705D3" w:rsidP="002705D3">
      <w:pPr>
        <w:numPr>
          <w:ilvl w:val="1"/>
          <w:numId w:val="3"/>
        </w:numPr>
        <w:tabs>
          <w:tab w:val="clear" w:pos="1440"/>
          <w:tab w:val="num" w:pos="720"/>
        </w:tabs>
        <w:ind w:left="720"/>
        <w:jc w:val="both"/>
      </w:pPr>
      <w:r w:rsidRPr="00D50D3A">
        <w:t>dönt helyiség pályázat nélküli bérbeadásáról, ha a helyiség üres, jogszerű használattal nem terhelt, és annak bérbeadását ugyanabban az épületben lévő helyiség bérlője, tulajdonosa kéri (7/2006. (III. 10.) rendelet 21.§ (1) bekezdés c) pont),</w:t>
      </w:r>
    </w:p>
    <w:p w:rsidR="002705D3" w:rsidRPr="00D50D3A" w:rsidRDefault="002705D3" w:rsidP="002705D3">
      <w:pPr>
        <w:numPr>
          <w:ilvl w:val="1"/>
          <w:numId w:val="3"/>
        </w:numPr>
        <w:tabs>
          <w:tab w:val="clear" w:pos="1440"/>
          <w:tab w:val="num" w:pos="720"/>
        </w:tabs>
        <w:ind w:left="720"/>
        <w:jc w:val="both"/>
      </w:pPr>
      <w:r w:rsidRPr="00D50D3A">
        <w:t>indokolt esetben legfeljebb a bérbeadó által ajánlott mértékig mérsékelheti vagy legfeljebb 3 hónapra szüneteltetheti a bérleti díj fizetését</w:t>
      </w:r>
      <w:r w:rsidRPr="00D50D3A">
        <w:rPr>
          <w:i/>
        </w:rPr>
        <w:t xml:space="preserve"> </w:t>
      </w:r>
      <w:r w:rsidRPr="00D50D3A">
        <w:t>(7/2006. (III. 10.) rendelet 24.§ (3) bekezdés),</w:t>
      </w:r>
    </w:p>
    <w:p w:rsidR="002705D3" w:rsidRPr="00D50D3A" w:rsidRDefault="002705D3" w:rsidP="002705D3">
      <w:pPr>
        <w:numPr>
          <w:ilvl w:val="1"/>
          <w:numId w:val="3"/>
        </w:numPr>
        <w:tabs>
          <w:tab w:val="clear" w:pos="1440"/>
          <w:tab w:val="num" w:pos="720"/>
        </w:tabs>
        <w:ind w:left="720"/>
        <w:jc w:val="both"/>
      </w:pPr>
      <w:r w:rsidRPr="00D50D3A">
        <w:t>hozzájárul az üres lakások - amennyiben nincs csatolási kérelem - a hirdetési helyszíneken közzétett pályázat útján való elidegenítéséhez (7/2006. (III. 10.) 26. § (2) bekezdés),</w:t>
      </w:r>
    </w:p>
    <w:p w:rsidR="002705D3" w:rsidRPr="00D50D3A" w:rsidRDefault="002705D3" w:rsidP="002705D3">
      <w:pPr>
        <w:numPr>
          <w:ilvl w:val="1"/>
          <w:numId w:val="3"/>
        </w:numPr>
        <w:tabs>
          <w:tab w:val="clear" w:pos="1440"/>
          <w:tab w:val="num" w:pos="720"/>
        </w:tabs>
        <w:ind w:left="720"/>
        <w:jc w:val="both"/>
        <w:rPr>
          <w:bCs/>
        </w:rPr>
      </w:pPr>
      <w:r w:rsidRPr="00D50D3A">
        <w:t xml:space="preserve">dönt a 15 éves részletfizetési kedvezménnyel eladott lakások esetében a futamidő meghosszabbításáról </w:t>
      </w:r>
      <w:r w:rsidRPr="00D50D3A">
        <w:rPr>
          <w:bCs/>
        </w:rPr>
        <w:t>(7/2006. (III. 10.) 28.§ (3) bekezdés),</w:t>
      </w:r>
    </w:p>
    <w:p w:rsidR="002705D3" w:rsidRPr="00D50D3A" w:rsidRDefault="002705D3" w:rsidP="002705D3">
      <w:pPr>
        <w:numPr>
          <w:ilvl w:val="1"/>
          <w:numId w:val="3"/>
        </w:numPr>
        <w:tabs>
          <w:tab w:val="clear" w:pos="1440"/>
          <w:tab w:val="num" w:pos="720"/>
        </w:tabs>
        <w:ind w:left="720"/>
        <w:jc w:val="both"/>
        <w:rPr>
          <w:bCs/>
        </w:rPr>
      </w:pPr>
      <w:r w:rsidRPr="00D50D3A">
        <w:t>engedélyezi</w:t>
      </w:r>
      <w:r w:rsidRPr="00D50D3A">
        <w:rPr>
          <w:bCs/>
        </w:rPr>
        <w:t xml:space="preserve"> a </w:t>
      </w:r>
      <w:r w:rsidRPr="00D50D3A">
        <w:t xml:space="preserve">25 és 35 éves részletfizetési kedvezménnyel </w:t>
      </w:r>
      <w:r w:rsidRPr="00D50D3A">
        <w:rPr>
          <w:bCs/>
        </w:rPr>
        <w:t>értékesített lakások vevői részére az eredeti törlesztő részletek fizetési átütemezését (7/2006. (III. 10.) 28.§ (4) bekezdés),</w:t>
      </w:r>
    </w:p>
    <w:p w:rsidR="002705D3" w:rsidRPr="00D50D3A" w:rsidRDefault="002705D3" w:rsidP="002705D3">
      <w:pPr>
        <w:numPr>
          <w:ilvl w:val="1"/>
          <w:numId w:val="3"/>
        </w:numPr>
        <w:tabs>
          <w:tab w:val="clear" w:pos="1440"/>
          <w:tab w:val="num" w:pos="720"/>
        </w:tabs>
        <w:ind w:left="720"/>
        <w:jc w:val="both"/>
      </w:pPr>
      <w:r w:rsidRPr="00D50D3A">
        <w:t>öröklakás értékesítése esetén dönt</w:t>
      </w:r>
      <w:r w:rsidRPr="00D50D3A">
        <w:rPr>
          <w:bCs/>
        </w:rPr>
        <w:t xml:space="preserve"> a Ferencvárosi Önkormányzatot megillető elővásárlási jog vonatkozásában</w:t>
      </w:r>
      <w:r w:rsidRPr="00D50D3A" w:rsidDel="002B3146">
        <w:t xml:space="preserve"> </w:t>
      </w:r>
      <w:r w:rsidRPr="00D50D3A">
        <w:t>(7/2006. (III.10.) 31.§ (2) bekezdés),</w:t>
      </w:r>
    </w:p>
    <w:p w:rsidR="002705D3" w:rsidRPr="00D50D3A" w:rsidRDefault="002705D3" w:rsidP="002705D3">
      <w:pPr>
        <w:numPr>
          <w:ilvl w:val="1"/>
          <w:numId w:val="3"/>
        </w:numPr>
        <w:tabs>
          <w:tab w:val="clear" w:pos="1440"/>
          <w:tab w:val="num" w:pos="720"/>
        </w:tabs>
        <w:ind w:left="720"/>
        <w:jc w:val="both"/>
      </w:pPr>
      <w:r w:rsidRPr="00D50D3A">
        <w:t>megadja a tulajdonosi hozzájárulást – az önkormányzati tulajdon hányadában – a társasházban lévő közös tulajdonú lakások elidegenítéséhez vagy jelzáloggal való terheléséhez (7/2006. (III. 10.) rendelet 31.§ (3) bekezdés),</w:t>
      </w:r>
    </w:p>
    <w:p w:rsidR="002705D3" w:rsidRPr="00D50D3A" w:rsidRDefault="002705D3" w:rsidP="002705D3">
      <w:pPr>
        <w:numPr>
          <w:ilvl w:val="1"/>
          <w:numId w:val="3"/>
        </w:numPr>
        <w:tabs>
          <w:tab w:val="clear" w:pos="1440"/>
          <w:tab w:val="num" w:pos="720"/>
        </w:tabs>
        <w:ind w:left="720"/>
        <w:jc w:val="both"/>
      </w:pPr>
      <w:r w:rsidRPr="00D50D3A">
        <w:t>dönt az üres helyiségek pályázat útján történő bérbeadásáról, eladásáról (7/2006. (III. 10.) rendelet 33.§ (1) bekezdés),</w:t>
      </w:r>
    </w:p>
    <w:p w:rsidR="002705D3" w:rsidRPr="00D50D3A" w:rsidRDefault="002705D3" w:rsidP="002705D3">
      <w:pPr>
        <w:numPr>
          <w:ilvl w:val="1"/>
          <w:numId w:val="3"/>
        </w:numPr>
        <w:tabs>
          <w:tab w:val="clear" w:pos="1440"/>
          <w:tab w:val="num" w:pos="720"/>
        </w:tabs>
        <w:ind w:left="720"/>
        <w:jc w:val="both"/>
      </w:pPr>
      <w:r w:rsidRPr="00D50D3A">
        <w:t>dönt - a 10 m2 alapterületnél nagyobb, utcai bejárattal rendelkező helyiségek kivételével - a társasházban lévő minden egyéb helyiségnek, valamint a két eredménytelen pályázaton szereplő üres helyiségeknek a társasházban lévő lakások és helyiségek tulajdonosainak/</w:t>
      </w:r>
      <w:proofErr w:type="gramStart"/>
      <w:r w:rsidRPr="00D50D3A">
        <w:t>bérlőinek</w:t>
      </w:r>
      <w:r w:rsidRPr="00D50D3A" w:rsidDel="00D91533">
        <w:t xml:space="preserve"> </w:t>
      </w:r>
      <w:r w:rsidRPr="00D50D3A">
        <w:t xml:space="preserve"> történő</w:t>
      </w:r>
      <w:proofErr w:type="gramEnd"/>
      <w:r w:rsidRPr="00D50D3A">
        <w:t xml:space="preserve"> elidegenítéséről (7/2006. (III. 10.) rendelet 33.§ (7) bekezdés),</w:t>
      </w:r>
    </w:p>
    <w:p w:rsidR="002705D3" w:rsidRPr="00D50D3A" w:rsidRDefault="002705D3" w:rsidP="002705D3">
      <w:pPr>
        <w:numPr>
          <w:ilvl w:val="1"/>
          <w:numId w:val="3"/>
        </w:numPr>
        <w:tabs>
          <w:tab w:val="clear" w:pos="1440"/>
          <w:tab w:val="num" w:pos="720"/>
        </w:tabs>
        <w:ind w:left="720"/>
        <w:jc w:val="both"/>
      </w:pPr>
      <w:r w:rsidRPr="00D50D3A">
        <w:t>dönt a területbérleti szerződés alapján hasznosított helyiség bérlő részére történő értékesítése esetén a vételárról és az adható kedvezményekről (7/2006. (III. 10.) rendelet 34. § (3) bekezdés)</w:t>
      </w:r>
    </w:p>
    <w:p w:rsidR="002705D3" w:rsidRPr="00D50D3A" w:rsidRDefault="002705D3" w:rsidP="002705D3">
      <w:pPr>
        <w:numPr>
          <w:ilvl w:val="1"/>
          <w:numId w:val="3"/>
        </w:numPr>
        <w:tabs>
          <w:tab w:val="clear" w:pos="1440"/>
          <w:tab w:val="num" w:pos="720"/>
        </w:tabs>
        <w:ind w:left="720"/>
        <w:jc w:val="both"/>
      </w:pPr>
      <w:r w:rsidRPr="00D50D3A">
        <w:lastRenderedPageBreak/>
        <w:t xml:space="preserve">dönt a (feladatokon, szakfeladatokon) címeken belül a kiemelt kiadási előirányzatok közötti átcsoportosításról és felhasználásról a kötelezettségvállalással csökkentett kiemelt kiadási előirányzat </w:t>
      </w:r>
      <w:proofErr w:type="gramStart"/>
      <w:r w:rsidRPr="00D50D3A">
        <w:t>összeghatáráig  (</w:t>
      </w:r>
      <w:proofErr w:type="gramEnd"/>
      <w:r w:rsidRPr="00D50D3A">
        <w:rPr>
          <w:bCs/>
        </w:rPr>
        <w:t>2/2013. (II.19.)</w:t>
      </w:r>
      <w:r w:rsidRPr="00D50D3A">
        <w:t>) számú rendelet 20.§ (1) bekezdés).</w:t>
      </w:r>
    </w:p>
    <w:p w:rsidR="002705D3" w:rsidRPr="00D50D3A" w:rsidRDefault="002705D3" w:rsidP="002705D3">
      <w:pPr>
        <w:numPr>
          <w:ilvl w:val="1"/>
          <w:numId w:val="3"/>
        </w:numPr>
        <w:tabs>
          <w:tab w:val="clear" w:pos="1440"/>
          <w:tab w:val="num" w:pos="720"/>
        </w:tabs>
        <w:ind w:left="720"/>
        <w:jc w:val="both"/>
      </w:pPr>
      <w:r w:rsidRPr="00D50D3A">
        <w:t xml:space="preserve">dönt 5-90 millió forint értékű </w:t>
      </w:r>
      <w:r w:rsidRPr="00D50D3A">
        <w:rPr>
          <w:color w:val="000000"/>
        </w:rPr>
        <w:t>forgalomképes önkormányzati vagyon elidegenítéséről, cseréjéről, megterheléséről, gazdasági társaságba való beviteléről</w:t>
      </w:r>
      <w:r w:rsidRPr="00D50D3A">
        <w:t xml:space="preserve">, továbbá </w:t>
      </w:r>
      <w:r w:rsidRPr="00D50D3A">
        <w:rPr>
          <w:color w:val="000000"/>
        </w:rPr>
        <w:t xml:space="preserve">1 éves időtartamot meghaladó, legfeljebb 5 éves időtartamú hasznosításáról </w:t>
      </w:r>
      <w:r w:rsidRPr="00D50D3A">
        <w:t>(21/2012.(VI.12.) rendelet 15.§ (1) bekezdés b) pont és (4) bekezdés b) pont),</w:t>
      </w:r>
    </w:p>
    <w:p w:rsidR="002705D3" w:rsidRPr="00D50D3A" w:rsidRDefault="002705D3" w:rsidP="002705D3">
      <w:pPr>
        <w:numPr>
          <w:ilvl w:val="1"/>
          <w:numId w:val="3"/>
        </w:numPr>
        <w:tabs>
          <w:tab w:val="clear" w:pos="1440"/>
          <w:tab w:val="num" w:pos="720"/>
        </w:tabs>
        <w:ind w:left="720"/>
        <w:jc w:val="both"/>
        <w:rPr>
          <w:bCs/>
          <w:iCs/>
        </w:rPr>
      </w:pPr>
      <w:r w:rsidRPr="00D50D3A">
        <w:t xml:space="preserve">minősített többségű döntéssel jogosult </w:t>
      </w:r>
      <w:r w:rsidRPr="00D50D3A">
        <w:rPr>
          <w:bCs/>
          <w:iCs/>
        </w:rPr>
        <w:t>jogszabály, vagy szerződés alapján az önkormányzatot megillető követelés elengedésére, mérséklésére, jogviták esetén peres és peren kívüli egyezség megkötésére 1 millió Ft-t meghaladó, legfeljebb 5 millió Ft értékhatárig (21/2012. (VI.12.) rendelet 11.§ (1) bekezdés b) pont)</w:t>
      </w:r>
    </w:p>
    <w:p w:rsidR="002705D3" w:rsidRPr="00D50D3A" w:rsidRDefault="002705D3" w:rsidP="002705D3">
      <w:pPr>
        <w:numPr>
          <w:ilvl w:val="1"/>
          <w:numId w:val="3"/>
        </w:numPr>
        <w:tabs>
          <w:tab w:val="clear" w:pos="1440"/>
          <w:tab w:val="num" w:pos="720"/>
        </w:tabs>
        <w:ind w:left="720"/>
        <w:jc w:val="both"/>
        <w:rPr>
          <w:bCs/>
          <w:iCs/>
        </w:rPr>
      </w:pPr>
      <w:r w:rsidRPr="00D50D3A">
        <w:rPr>
          <w:bCs/>
          <w:iCs/>
        </w:rPr>
        <w:t xml:space="preserve">jogosult </w:t>
      </w:r>
      <w:r w:rsidRPr="00D50D3A">
        <w:rPr>
          <w:color w:val="000000"/>
        </w:rPr>
        <w:t xml:space="preserve">jelzálog illetve ranghely feletti rendelkezésre – amennyiben az nem veszélyezteti az önkormányzati követelés teljesülését - az önkormányzati követelés döntés időpontjában még fennálló összegének figyelembe vételével 5 millió Ft értékhatár felett </w:t>
      </w:r>
      <w:r w:rsidRPr="00D50D3A">
        <w:rPr>
          <w:bCs/>
          <w:iCs/>
        </w:rPr>
        <w:t>(21/2012. (VI.12.) rendelet 11.§ (4) bekezdés b) pont)</w:t>
      </w:r>
    </w:p>
    <w:p w:rsidR="002705D3" w:rsidRPr="00D50D3A" w:rsidRDefault="002705D3" w:rsidP="002705D3">
      <w:pPr>
        <w:numPr>
          <w:ilvl w:val="1"/>
          <w:numId w:val="3"/>
        </w:numPr>
        <w:tabs>
          <w:tab w:val="clear" w:pos="1440"/>
          <w:tab w:val="num" w:pos="720"/>
        </w:tabs>
        <w:ind w:left="720"/>
        <w:jc w:val="both"/>
        <w:rPr>
          <w:bCs/>
          <w:iCs/>
        </w:rPr>
      </w:pPr>
      <w:r w:rsidRPr="00D50D3A">
        <w:rPr>
          <w:color w:val="000000"/>
        </w:rPr>
        <w:t>minősített többséggel dönt a korlátozottan forgalomképes önkormányzati vagyon, elidegenítéséről, megterheléséről, vagy gazdasági társaságba való beviteléről 5 millió Ft-t meghaladó, legfeljebb 90 millió Ft értékhatárig (</w:t>
      </w:r>
      <w:r w:rsidRPr="00D50D3A">
        <w:rPr>
          <w:bCs/>
          <w:iCs/>
        </w:rPr>
        <w:t>21/2012. (VI.12.) rendelet 14.§ (1) bekezdés b) pont)</w:t>
      </w:r>
    </w:p>
    <w:p w:rsidR="002705D3" w:rsidRPr="00D50D3A" w:rsidRDefault="002705D3" w:rsidP="002705D3">
      <w:pPr>
        <w:numPr>
          <w:ilvl w:val="1"/>
          <w:numId w:val="3"/>
        </w:numPr>
        <w:tabs>
          <w:tab w:val="clear" w:pos="1440"/>
          <w:tab w:val="num" w:pos="720"/>
        </w:tabs>
        <w:ind w:left="720"/>
        <w:jc w:val="both"/>
        <w:rPr>
          <w:bCs/>
          <w:iCs/>
        </w:rPr>
      </w:pPr>
      <w:r w:rsidRPr="00D50D3A">
        <w:rPr>
          <w:bCs/>
          <w:iCs/>
        </w:rPr>
        <w:t xml:space="preserve">dönt a korlátozottan </w:t>
      </w:r>
      <w:r w:rsidRPr="00D50D3A">
        <w:t xml:space="preserve">forgalomképes törzsvagyon és forgalomképes üzleti vagyon esetében a vagyonkezelői szerződés megkötéséről 5 millió Ft-t meghaladó, legfeljebb 90 millió Ft értékhatárig </w:t>
      </w:r>
      <w:r w:rsidRPr="00D50D3A">
        <w:rPr>
          <w:color w:val="000000"/>
        </w:rPr>
        <w:t>(</w:t>
      </w:r>
      <w:r w:rsidRPr="00D50D3A">
        <w:rPr>
          <w:bCs/>
          <w:iCs/>
        </w:rPr>
        <w:t>21/2012. (VI.12.) rendelet 17.§ (5) bekezdés b) pont)</w:t>
      </w:r>
    </w:p>
    <w:p w:rsidR="002705D3" w:rsidRPr="00D50D3A" w:rsidRDefault="002705D3" w:rsidP="002705D3">
      <w:pPr>
        <w:numPr>
          <w:ilvl w:val="1"/>
          <w:numId w:val="3"/>
        </w:numPr>
        <w:tabs>
          <w:tab w:val="clear" w:pos="1440"/>
          <w:tab w:val="num" w:pos="720"/>
        </w:tabs>
        <w:ind w:left="720"/>
        <w:jc w:val="both"/>
      </w:pPr>
      <w:r w:rsidRPr="00D50D3A">
        <w:t>dönt a megjelölt címeken belül a kiadási előirányzatok átcsoportosításról és felhasználásáról az előirányzatok összeghatáráig (2/2013. (II. 19.) számú rendelet 20.§ (1) bekezdés)</w:t>
      </w:r>
    </w:p>
    <w:p w:rsidR="002705D3" w:rsidRPr="00D50D3A" w:rsidRDefault="002705D3" w:rsidP="002705D3"/>
    <w:p w:rsidR="002705D3" w:rsidRPr="00D50D3A" w:rsidRDefault="002705D3" w:rsidP="002705D3">
      <w:pPr>
        <w:jc w:val="both"/>
        <w:rPr>
          <w:b/>
          <w:bCs/>
        </w:rPr>
      </w:pPr>
      <w:r w:rsidRPr="00D50D3A">
        <w:rPr>
          <w:b/>
          <w:bCs/>
        </w:rPr>
        <w:t xml:space="preserve">2. </w:t>
      </w:r>
      <w:r w:rsidRPr="00D50D3A">
        <w:rPr>
          <w:b/>
          <w:u w:val="single"/>
        </w:rPr>
        <w:t>Városfejlesztési, Városgazdálkodási és Környezetvédelmi Bizottság</w:t>
      </w:r>
    </w:p>
    <w:p w:rsidR="002705D3" w:rsidRPr="00D50D3A" w:rsidRDefault="002705D3" w:rsidP="002705D3">
      <w:pPr>
        <w:jc w:val="both"/>
      </w:pP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t>meghatározza a Környezetvédelmi Alapból adható támogatás pályázati feltételeit és eljárási szabályait (7/1999. (IV.30.) rendelet 5. § (6)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t>dönt a támogatás százalékos mértékének megállapításáról (30/ 2000. (XII. 24.) 4. § (4)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dönt a támogatás mértékének túllépéséről (30/2000. (XII. 24.) 4. § (4)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t>dönt a társasház-felújítási pályázatok elbírálásáról (30/2000. (XII.24.) rendelet 5.§ (1)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t>hozzájárul a lakóház felújítási támogatás pályázattól eltérő felhasználásához (30/2000. (XII.24.) rendelet 6.§ (5)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t>dönthet az általa kiemelt beruházásnak minősített felújítási munka két ütemben történő megvalósíthatóságáról (30/2000. (XII.24.) rendelet 4. § (8)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t xml:space="preserve">dönt a lakótelepi energiatakarékos felújítási pályázat elbírálásáról (7/2002. (IV.26.) rendelet 8.§ (3) bekezdés), </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t xml:space="preserve">dönt a nem rendeltetésszerű felületképzés megelőzésére, </w:t>
      </w:r>
      <w:proofErr w:type="gramStart"/>
      <w:r w:rsidRPr="00D50D3A">
        <w:rPr>
          <w:rFonts w:ascii="Times New Roman" w:hAnsi="Times New Roman" w:cs="Times New Roman"/>
          <w:b w:val="0"/>
          <w:i w:val="0"/>
          <w:sz w:val="24"/>
          <w:szCs w:val="24"/>
        </w:rPr>
        <w:t>mentesítésére</w:t>
      </w:r>
      <w:proofErr w:type="gramEnd"/>
      <w:r w:rsidRPr="00D50D3A">
        <w:rPr>
          <w:rFonts w:ascii="Times New Roman" w:hAnsi="Times New Roman" w:cs="Times New Roman"/>
          <w:b w:val="0"/>
          <w:i w:val="0"/>
          <w:sz w:val="24"/>
          <w:szCs w:val="24"/>
        </w:rPr>
        <w:t xml:space="preserve"> az adott évben kijelölt területről (40/2004. (XI.17.) rendelet 3. § (2)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t xml:space="preserve">dönt a nem rendeltetésszerű felületképzés megelőzésére, </w:t>
      </w:r>
      <w:proofErr w:type="gramStart"/>
      <w:r w:rsidRPr="00D50D3A">
        <w:rPr>
          <w:rFonts w:ascii="Times New Roman" w:hAnsi="Times New Roman" w:cs="Times New Roman"/>
          <w:b w:val="0"/>
          <w:i w:val="0"/>
          <w:sz w:val="24"/>
          <w:szCs w:val="24"/>
        </w:rPr>
        <w:t>mentesítésére</w:t>
      </w:r>
      <w:proofErr w:type="gramEnd"/>
      <w:r w:rsidRPr="00D50D3A">
        <w:rPr>
          <w:rFonts w:ascii="Times New Roman" w:hAnsi="Times New Roman" w:cs="Times New Roman"/>
          <w:b w:val="0"/>
          <w:i w:val="0"/>
          <w:sz w:val="24"/>
          <w:szCs w:val="24"/>
        </w:rPr>
        <w:t xml:space="preserve"> vonatkozó pályázatok kiírásáról, elbírálásáról (40/2004. (XI.17.) rendelet 3.§ (7)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color w:val="000000"/>
          <w:sz w:val="24"/>
          <w:szCs w:val="24"/>
        </w:rPr>
      </w:pPr>
      <w:r w:rsidRPr="00D50D3A">
        <w:rPr>
          <w:rFonts w:ascii="Times New Roman" w:hAnsi="Times New Roman" w:cs="Times New Roman"/>
          <w:b w:val="0"/>
          <w:i w:val="0"/>
          <w:sz w:val="24"/>
          <w:szCs w:val="24"/>
        </w:rPr>
        <w:t>dönt a</w:t>
      </w:r>
      <w:r w:rsidRPr="00D50D3A">
        <w:rPr>
          <w:rFonts w:ascii="Times New Roman" w:hAnsi="Times New Roman" w:cs="Times New Roman"/>
          <w:b w:val="0"/>
          <w:i w:val="0"/>
          <w:color w:val="000000"/>
          <w:sz w:val="24"/>
          <w:szCs w:val="24"/>
        </w:rPr>
        <w:t xml:space="preserve"> </w:t>
      </w:r>
      <w:proofErr w:type="spellStart"/>
      <w:r w:rsidRPr="00D50D3A">
        <w:rPr>
          <w:rFonts w:ascii="Times New Roman" w:hAnsi="Times New Roman" w:cs="Times New Roman"/>
          <w:b w:val="0"/>
          <w:i w:val="0"/>
          <w:color w:val="000000"/>
          <w:sz w:val="24"/>
          <w:szCs w:val="24"/>
        </w:rPr>
        <w:t>Boráros</w:t>
      </w:r>
      <w:proofErr w:type="spellEnd"/>
      <w:r w:rsidRPr="00D50D3A">
        <w:rPr>
          <w:rFonts w:ascii="Times New Roman" w:hAnsi="Times New Roman" w:cs="Times New Roman"/>
          <w:b w:val="0"/>
          <w:i w:val="0"/>
          <w:color w:val="000000"/>
          <w:sz w:val="24"/>
          <w:szCs w:val="24"/>
        </w:rPr>
        <w:t xml:space="preserve"> tér-Ferenc krt.-Üllői út- Könyves Kálmán krt.-Soroksári út páros oldala által határolt területen kialakított vendéglátó teraszok esetén a kiszolgálás maximális időtartamáról a 9. § (3) bekezdés b) pontjában meghatározott alternatívák alapján (16/2012. (V. 22.) önkormányzati rendelet 3. § (1)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color w:val="000000"/>
          <w:sz w:val="24"/>
          <w:szCs w:val="24"/>
        </w:rPr>
      </w:pPr>
      <w:r w:rsidRPr="00D50D3A">
        <w:rPr>
          <w:rFonts w:ascii="Times New Roman" w:hAnsi="Times New Roman" w:cs="Times New Roman"/>
          <w:b w:val="0"/>
          <w:i w:val="0"/>
          <w:sz w:val="24"/>
          <w:szCs w:val="24"/>
        </w:rPr>
        <w:lastRenderedPageBreak/>
        <w:t>dönt</w:t>
      </w:r>
      <w:r w:rsidRPr="00D50D3A">
        <w:rPr>
          <w:rFonts w:ascii="Times New Roman" w:hAnsi="Times New Roman" w:cs="Times New Roman"/>
          <w:b w:val="0"/>
          <w:i w:val="0"/>
          <w:color w:val="000000"/>
          <w:sz w:val="24"/>
          <w:szCs w:val="24"/>
        </w:rPr>
        <w:t xml:space="preserve"> a díszburkolattal ellátott közterületek használatára vonatkozó kérelmek – kivéve a három napot meg nem haladó konténer kihelyezési kérelem illetve a 3.§ (</w:t>
      </w:r>
      <w:proofErr w:type="spellStart"/>
      <w:r w:rsidRPr="00D50D3A">
        <w:rPr>
          <w:rFonts w:ascii="Times New Roman" w:hAnsi="Times New Roman" w:cs="Times New Roman"/>
          <w:b w:val="0"/>
          <w:i w:val="0"/>
          <w:color w:val="000000"/>
          <w:sz w:val="24"/>
          <w:szCs w:val="24"/>
        </w:rPr>
        <w:t>3</w:t>
      </w:r>
      <w:proofErr w:type="spellEnd"/>
      <w:r w:rsidRPr="00D50D3A">
        <w:rPr>
          <w:rFonts w:ascii="Times New Roman" w:hAnsi="Times New Roman" w:cs="Times New Roman"/>
          <w:b w:val="0"/>
          <w:i w:val="0"/>
          <w:color w:val="000000"/>
          <w:sz w:val="24"/>
          <w:szCs w:val="24"/>
        </w:rPr>
        <w:t>) bekezdése szerinti kérelem–, továbbá pavilonállításra, illetve a forgalmi rend megváltoztatásával járó, építési engedélyhez kötött kivitelezési munkák felvonulási területére vonatkozó kérelmek ügyében (16/2012. (V. 22.) önkormányzati rendelet 4. § (2)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color w:val="000000"/>
          <w:sz w:val="24"/>
          <w:szCs w:val="24"/>
        </w:rPr>
      </w:pPr>
      <w:r w:rsidRPr="00D50D3A">
        <w:rPr>
          <w:rFonts w:ascii="Times New Roman" w:hAnsi="Times New Roman" w:cs="Times New Roman"/>
          <w:b w:val="0"/>
          <w:i w:val="0"/>
          <w:sz w:val="24"/>
          <w:szCs w:val="24"/>
        </w:rPr>
        <w:t>dönthet</w:t>
      </w:r>
      <w:r w:rsidRPr="00D50D3A">
        <w:rPr>
          <w:rFonts w:ascii="Times New Roman" w:hAnsi="Times New Roman" w:cs="Times New Roman"/>
          <w:b w:val="0"/>
          <w:i w:val="0"/>
          <w:color w:val="000000"/>
          <w:sz w:val="24"/>
          <w:szCs w:val="24"/>
        </w:rPr>
        <w:t xml:space="preserve"> a Tompa utcai és a Ráday utcai vendéglátóteraszok tárgyévi közterület-használati engedélyei kiadására, a még kiadott közterülethasználati-engedéllyel nem érintett területekre vonatkozóan, jóváhagyja a pályázati kiírást, illetve ezzel egyidejűleg az elbírálás szempontjait (16/2012. (V. 22.) önkormányzati rendelet 5. § (7)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color w:val="000000"/>
          <w:sz w:val="24"/>
          <w:szCs w:val="24"/>
        </w:rPr>
      </w:pPr>
      <w:r w:rsidRPr="00D50D3A">
        <w:rPr>
          <w:rFonts w:ascii="Times New Roman" w:hAnsi="Times New Roman" w:cs="Times New Roman"/>
          <w:b w:val="0"/>
          <w:i w:val="0"/>
          <w:sz w:val="24"/>
          <w:szCs w:val="24"/>
        </w:rPr>
        <w:t>jóváhagyja a</w:t>
      </w:r>
      <w:r w:rsidRPr="00D50D3A">
        <w:rPr>
          <w:rFonts w:ascii="Times New Roman" w:hAnsi="Times New Roman" w:cs="Times New Roman"/>
          <w:b w:val="0"/>
          <w:i w:val="0"/>
          <w:color w:val="000000"/>
          <w:sz w:val="24"/>
          <w:szCs w:val="24"/>
        </w:rPr>
        <w:t xml:space="preserve"> karácsonyfa árusításra kijelölt helyeket, a pályázati kiírást, illetve ezzel egyidejűleg az elbírálás szempontjait (16/2012. (V. 22.) önkormányzati rendelet 5. § (8)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kérelemre mérsékelheti az 1. a) III. Általános elbírálású közterületek övezeti kategóriában lévő pavilonok közterület-használati díjtételét - az alkoholárusítás kivételével - a lakossági igényeket kielégítő kiskereskedelmi tevékenységek esetében (</w:t>
      </w:r>
      <w:r w:rsidRPr="00D50D3A">
        <w:rPr>
          <w:rFonts w:ascii="Times New Roman" w:hAnsi="Times New Roman" w:cs="Times New Roman"/>
          <w:b w:val="0"/>
          <w:i w:val="0"/>
          <w:color w:val="000000"/>
          <w:sz w:val="24"/>
          <w:szCs w:val="24"/>
        </w:rPr>
        <w:t xml:space="preserve">16/2012. (V. 22.) önkormányzati rendelet </w:t>
      </w:r>
      <w:r w:rsidRPr="00D50D3A">
        <w:rPr>
          <w:rFonts w:ascii="Times New Roman" w:hAnsi="Times New Roman" w:cs="Times New Roman"/>
          <w:b w:val="0"/>
          <w:i w:val="0"/>
          <w:sz w:val="24"/>
          <w:szCs w:val="24"/>
        </w:rPr>
        <w:t>9. § (3) bekezdés c) pontja)</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proofErr w:type="gramStart"/>
      <w:r w:rsidRPr="00D50D3A">
        <w:rPr>
          <w:rFonts w:ascii="Times New Roman" w:hAnsi="Times New Roman" w:cs="Times New Roman"/>
          <w:b w:val="0"/>
          <w:i w:val="0"/>
          <w:sz w:val="24"/>
          <w:szCs w:val="24"/>
        </w:rPr>
        <w:t>csökkentheti</w:t>
      </w:r>
      <w:proofErr w:type="gramEnd"/>
      <w:r w:rsidRPr="00D50D3A">
        <w:rPr>
          <w:rFonts w:ascii="Times New Roman" w:hAnsi="Times New Roman" w:cs="Times New Roman"/>
          <w:b w:val="0"/>
          <w:i w:val="0"/>
          <w:sz w:val="24"/>
          <w:szCs w:val="24"/>
        </w:rPr>
        <w:t xml:space="preserve"> illetve elengedheti a Közterület-használati díjat a legfeljebb 3 napos kulturális, karitatív, sport rendezvények, illetve a kerületi társadalmi szervezetek “non profit”, rendezvényei esetében (</w:t>
      </w:r>
      <w:r w:rsidRPr="00D50D3A">
        <w:rPr>
          <w:rFonts w:ascii="Times New Roman" w:hAnsi="Times New Roman" w:cs="Times New Roman"/>
          <w:b w:val="0"/>
          <w:i w:val="0"/>
          <w:color w:val="000000"/>
          <w:sz w:val="24"/>
          <w:szCs w:val="24"/>
        </w:rPr>
        <w:t xml:space="preserve">16/2012. (V. 22.) önkormányzati rendelet </w:t>
      </w:r>
      <w:r w:rsidRPr="00D50D3A">
        <w:rPr>
          <w:rFonts w:ascii="Times New Roman" w:hAnsi="Times New Roman" w:cs="Times New Roman"/>
          <w:b w:val="0"/>
          <w:i w:val="0"/>
          <w:sz w:val="24"/>
          <w:szCs w:val="24"/>
        </w:rPr>
        <w:t>16. § (1)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50 % feletti mértékben mérsékelheti a közterület használati díjat a közterület-használat megszüntetése nélkül (</w:t>
      </w:r>
      <w:r w:rsidRPr="00D50D3A">
        <w:rPr>
          <w:rFonts w:ascii="Times New Roman" w:hAnsi="Times New Roman" w:cs="Times New Roman"/>
          <w:b w:val="0"/>
          <w:i w:val="0"/>
          <w:color w:val="000000"/>
          <w:sz w:val="24"/>
          <w:szCs w:val="24"/>
        </w:rPr>
        <w:t xml:space="preserve">16/2012. (V. 22.) önkormányzati rendelet </w:t>
      </w:r>
      <w:r w:rsidRPr="00D50D3A">
        <w:rPr>
          <w:rFonts w:ascii="Times New Roman" w:hAnsi="Times New Roman" w:cs="Times New Roman"/>
          <w:b w:val="0"/>
          <w:i w:val="0"/>
          <w:sz w:val="24"/>
          <w:szCs w:val="24"/>
        </w:rPr>
        <w:t>16. § (5) bekezdés ab) pontja)</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dönt</w:t>
      </w:r>
      <w:r w:rsidRPr="00D50D3A">
        <w:rPr>
          <w:rFonts w:ascii="Times New Roman" w:hAnsi="Times New Roman" w:cs="Times New Roman"/>
          <w:b w:val="0"/>
          <w:i w:val="0"/>
          <w:color w:val="000000"/>
          <w:sz w:val="24"/>
          <w:szCs w:val="24"/>
        </w:rPr>
        <w:t xml:space="preserve"> </w:t>
      </w:r>
      <w:r w:rsidRPr="00D50D3A">
        <w:rPr>
          <w:rFonts w:ascii="Times New Roman" w:hAnsi="Times New Roman" w:cs="Times New Roman"/>
          <w:b w:val="0"/>
          <w:i w:val="0"/>
          <w:sz w:val="24"/>
          <w:szCs w:val="24"/>
        </w:rPr>
        <w:t xml:space="preserve">legfeljebb 3 hónapra a közterület-használati díj fizetésének </w:t>
      </w:r>
      <w:proofErr w:type="gramStart"/>
      <w:r w:rsidRPr="00D50D3A">
        <w:rPr>
          <w:rFonts w:ascii="Times New Roman" w:hAnsi="Times New Roman" w:cs="Times New Roman"/>
          <w:b w:val="0"/>
          <w:i w:val="0"/>
          <w:sz w:val="24"/>
          <w:szCs w:val="24"/>
        </w:rPr>
        <w:t>szüneteltetéséről</w:t>
      </w:r>
      <w:proofErr w:type="gramEnd"/>
      <w:r w:rsidRPr="00D50D3A">
        <w:rPr>
          <w:rFonts w:ascii="Times New Roman" w:hAnsi="Times New Roman" w:cs="Times New Roman"/>
          <w:b w:val="0"/>
          <w:i w:val="0"/>
          <w:sz w:val="24"/>
          <w:szCs w:val="24"/>
        </w:rPr>
        <w:t xml:space="preserve"> ha a három hónapra fizetendő közterület-használati díj összege meghaladja az 500.000 Ft-ot (</w:t>
      </w:r>
      <w:r w:rsidRPr="00D50D3A">
        <w:rPr>
          <w:rFonts w:ascii="Times New Roman" w:hAnsi="Times New Roman" w:cs="Times New Roman"/>
          <w:b w:val="0"/>
          <w:i w:val="0"/>
          <w:color w:val="000000"/>
          <w:sz w:val="24"/>
          <w:szCs w:val="24"/>
        </w:rPr>
        <w:t xml:space="preserve">16/2012. (V. 22.) önkormányzati rendelet </w:t>
      </w:r>
      <w:r w:rsidRPr="00D50D3A">
        <w:rPr>
          <w:rFonts w:ascii="Times New Roman" w:hAnsi="Times New Roman" w:cs="Times New Roman"/>
          <w:b w:val="0"/>
          <w:i w:val="0"/>
          <w:sz w:val="24"/>
          <w:szCs w:val="24"/>
        </w:rPr>
        <w:t xml:space="preserve">16. § (5) bekezdés </w:t>
      </w:r>
      <w:proofErr w:type="spellStart"/>
      <w:r w:rsidRPr="00D50D3A">
        <w:rPr>
          <w:rFonts w:ascii="Times New Roman" w:hAnsi="Times New Roman" w:cs="Times New Roman"/>
          <w:b w:val="0"/>
          <w:i w:val="0"/>
          <w:sz w:val="24"/>
          <w:szCs w:val="24"/>
        </w:rPr>
        <w:t>bb</w:t>
      </w:r>
      <w:proofErr w:type="spellEnd"/>
      <w:r w:rsidRPr="00D50D3A">
        <w:rPr>
          <w:rFonts w:ascii="Times New Roman" w:hAnsi="Times New Roman" w:cs="Times New Roman"/>
          <w:b w:val="0"/>
          <w:i w:val="0"/>
          <w:sz w:val="24"/>
          <w:szCs w:val="24"/>
        </w:rPr>
        <w:t>) pontja)</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 xml:space="preserve">elengedheti a felhalmozott közterület-használati </w:t>
      </w:r>
      <w:proofErr w:type="gramStart"/>
      <w:r w:rsidRPr="00D50D3A">
        <w:rPr>
          <w:rFonts w:ascii="Times New Roman" w:hAnsi="Times New Roman" w:cs="Times New Roman"/>
          <w:b w:val="0"/>
          <w:i w:val="0"/>
          <w:sz w:val="24"/>
          <w:szCs w:val="24"/>
        </w:rPr>
        <w:t>díj követelést</w:t>
      </w:r>
      <w:proofErr w:type="gramEnd"/>
      <w:r w:rsidRPr="00D50D3A">
        <w:rPr>
          <w:rFonts w:ascii="Times New Roman" w:hAnsi="Times New Roman" w:cs="Times New Roman"/>
          <w:b w:val="0"/>
          <w:i w:val="0"/>
          <w:sz w:val="24"/>
          <w:szCs w:val="24"/>
        </w:rPr>
        <w:t xml:space="preserve"> 500.000.- Ft. </w:t>
      </w:r>
      <w:proofErr w:type="gramStart"/>
      <w:r w:rsidRPr="00D50D3A">
        <w:rPr>
          <w:rFonts w:ascii="Times New Roman" w:hAnsi="Times New Roman" w:cs="Times New Roman"/>
          <w:b w:val="0"/>
          <w:i w:val="0"/>
          <w:sz w:val="24"/>
          <w:szCs w:val="24"/>
        </w:rPr>
        <w:t>feletti</w:t>
      </w:r>
      <w:proofErr w:type="gramEnd"/>
      <w:r w:rsidRPr="00D50D3A">
        <w:rPr>
          <w:rFonts w:ascii="Times New Roman" w:hAnsi="Times New Roman" w:cs="Times New Roman"/>
          <w:b w:val="0"/>
          <w:i w:val="0"/>
          <w:sz w:val="24"/>
          <w:szCs w:val="24"/>
        </w:rPr>
        <w:t xml:space="preserve"> összeg esetében (</w:t>
      </w:r>
      <w:r w:rsidRPr="00D50D3A">
        <w:rPr>
          <w:rFonts w:ascii="Times New Roman" w:hAnsi="Times New Roman" w:cs="Times New Roman"/>
          <w:b w:val="0"/>
          <w:i w:val="0"/>
          <w:color w:val="000000"/>
          <w:sz w:val="24"/>
          <w:szCs w:val="24"/>
        </w:rPr>
        <w:t xml:space="preserve">16/2012. (V. 22.) önkormányzati rendelet </w:t>
      </w:r>
      <w:r w:rsidRPr="00D50D3A">
        <w:rPr>
          <w:rFonts w:ascii="Times New Roman" w:hAnsi="Times New Roman" w:cs="Times New Roman"/>
          <w:b w:val="0"/>
          <w:i w:val="0"/>
          <w:sz w:val="24"/>
          <w:szCs w:val="24"/>
        </w:rPr>
        <w:t>16. § (6) bekezdés b) pontja)</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dönt a közterület-használati díj maximum hat havi részletben történő megfizetésének engedélyezéséről (</w:t>
      </w:r>
      <w:r w:rsidRPr="00D50D3A">
        <w:rPr>
          <w:rFonts w:ascii="Times New Roman" w:hAnsi="Times New Roman" w:cs="Times New Roman"/>
          <w:b w:val="0"/>
          <w:i w:val="0"/>
          <w:color w:val="000000"/>
          <w:sz w:val="24"/>
          <w:szCs w:val="24"/>
        </w:rPr>
        <w:t xml:space="preserve">16/2012. (V. 22.) önkormányzati rendelet </w:t>
      </w:r>
      <w:r w:rsidRPr="00D50D3A">
        <w:rPr>
          <w:rFonts w:ascii="Times New Roman" w:hAnsi="Times New Roman" w:cs="Times New Roman"/>
          <w:b w:val="0"/>
          <w:i w:val="0"/>
          <w:sz w:val="24"/>
          <w:szCs w:val="24"/>
        </w:rPr>
        <w:t>17. § (1)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color w:val="000000"/>
          <w:sz w:val="24"/>
          <w:szCs w:val="24"/>
        </w:rPr>
      </w:pPr>
      <w:r w:rsidRPr="00D50D3A">
        <w:rPr>
          <w:rFonts w:ascii="Times New Roman" w:hAnsi="Times New Roman" w:cs="Times New Roman"/>
          <w:b w:val="0"/>
          <w:i w:val="0"/>
          <w:sz w:val="24"/>
          <w:szCs w:val="24"/>
        </w:rPr>
        <w:t xml:space="preserve">legfeljebb 50 %-os mértékben csökkentheti, valamint az így fennmaradó tartozás részletekben történő megfizetését engedélyezheti a </w:t>
      </w:r>
      <w:r w:rsidRPr="00D50D3A">
        <w:rPr>
          <w:rFonts w:ascii="Times New Roman" w:hAnsi="Times New Roman" w:cs="Times New Roman"/>
          <w:b w:val="0"/>
          <w:i w:val="0"/>
          <w:color w:val="000000"/>
          <w:sz w:val="24"/>
          <w:szCs w:val="24"/>
        </w:rPr>
        <w:t>közterület hozzájárulás nélkül, vagy a hozzájárulásban foglaltaktól eltérően használata okából kiszabott díjat (16/2012. (V. 22.) önkormányzati rendelet 17. § (2)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color w:val="000000"/>
          <w:sz w:val="24"/>
          <w:szCs w:val="24"/>
        </w:rPr>
        <w:t xml:space="preserve">dönt </w:t>
      </w:r>
      <w:r w:rsidRPr="00D50D3A">
        <w:rPr>
          <w:rFonts w:ascii="Times New Roman" w:hAnsi="Times New Roman" w:cs="Times New Roman"/>
          <w:b w:val="0"/>
          <w:i w:val="0"/>
          <w:sz w:val="24"/>
          <w:szCs w:val="24"/>
        </w:rPr>
        <w:t>közbiztonsági érdekből a közterületről bejárattal rendelkező társasházakkal történő megállapodást megkötéséről a gépjárműforgalommal nem érintett közterület éjszakára történő ideiglenes lezárása céljára (</w:t>
      </w:r>
      <w:r w:rsidRPr="00D50D3A">
        <w:rPr>
          <w:rFonts w:ascii="Times New Roman" w:hAnsi="Times New Roman" w:cs="Times New Roman"/>
          <w:b w:val="0"/>
          <w:i w:val="0"/>
          <w:color w:val="000000"/>
          <w:sz w:val="24"/>
          <w:szCs w:val="24"/>
        </w:rPr>
        <w:t xml:space="preserve">16/2012. (V. 22.) önkormányzati rendelet </w:t>
      </w:r>
      <w:r w:rsidRPr="00D50D3A">
        <w:rPr>
          <w:rFonts w:ascii="Times New Roman" w:hAnsi="Times New Roman" w:cs="Times New Roman"/>
          <w:b w:val="0"/>
          <w:i w:val="0"/>
          <w:sz w:val="24"/>
          <w:szCs w:val="24"/>
        </w:rPr>
        <w:t>18/</w:t>
      </w:r>
      <w:proofErr w:type="gramStart"/>
      <w:r w:rsidRPr="00D50D3A">
        <w:rPr>
          <w:rFonts w:ascii="Times New Roman" w:hAnsi="Times New Roman" w:cs="Times New Roman"/>
          <w:b w:val="0"/>
          <w:i w:val="0"/>
          <w:sz w:val="24"/>
          <w:szCs w:val="24"/>
        </w:rPr>
        <w:t>A</w:t>
      </w:r>
      <w:proofErr w:type="gramEnd"/>
      <w:r w:rsidRPr="00D50D3A">
        <w:rPr>
          <w:rFonts w:ascii="Times New Roman" w:hAnsi="Times New Roman" w:cs="Times New Roman"/>
          <w:b w:val="0"/>
          <w:i w:val="0"/>
          <w:sz w:val="24"/>
          <w:szCs w:val="24"/>
        </w:rPr>
        <w:t>. § (1)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rangsorolja és előterjeszti a „Pro Urbe Ferencváros” díj adományozására vonatkozó javaslatokat (25/2012. (VII. 16.) önkormányzati rendelet 3. § (6)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rangsorolja és előterjeszti a „Ferencváros Közbiztonságáért” díj adományozására vonatkozó javaslatokat (25/2012. (VII. 16.) önkormányzati rendelet 9. § (7)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i w:val="0"/>
          <w:sz w:val="24"/>
          <w:szCs w:val="24"/>
        </w:rPr>
      </w:pPr>
      <w:r w:rsidRPr="00D50D3A">
        <w:rPr>
          <w:rFonts w:ascii="Times New Roman" w:hAnsi="Times New Roman" w:cs="Times New Roman"/>
          <w:b w:val="0"/>
          <w:i w:val="0"/>
          <w:sz w:val="24"/>
          <w:szCs w:val="24"/>
        </w:rPr>
        <w:t>dönt a megjelölt címeken belül a kiadási előirányzatok átcsoportosításról és felhasználásáról az előirányzatok összeghatáráig (2/2013. (II. 19.) számú rendelet 20.§ (1) bekezdés).</w:t>
      </w:r>
    </w:p>
    <w:p w:rsidR="002705D3" w:rsidRPr="00D50D3A" w:rsidRDefault="002705D3" w:rsidP="002705D3">
      <w:pPr>
        <w:pStyle w:val="Szvegtrzs2"/>
        <w:numPr>
          <w:ilvl w:val="0"/>
          <w:numId w:val="2"/>
        </w:numPr>
        <w:tabs>
          <w:tab w:val="clear" w:pos="360"/>
          <w:tab w:val="left" w:pos="720"/>
        </w:tabs>
        <w:autoSpaceDE w:val="0"/>
        <w:autoSpaceDN w:val="0"/>
        <w:ind w:left="720"/>
        <w:rPr>
          <w:rFonts w:ascii="Times New Roman" w:hAnsi="Times New Roman" w:cs="Times New Roman"/>
          <w:b w:val="0"/>
          <w:bCs w:val="0"/>
          <w:i w:val="0"/>
          <w:sz w:val="24"/>
          <w:szCs w:val="24"/>
        </w:rPr>
      </w:pPr>
      <w:r w:rsidRPr="00D50D3A">
        <w:rPr>
          <w:rFonts w:ascii="Times New Roman" w:hAnsi="Times New Roman" w:cs="Times New Roman"/>
          <w:b w:val="0"/>
          <w:i w:val="0"/>
          <w:sz w:val="24"/>
          <w:szCs w:val="24"/>
        </w:rPr>
        <w:lastRenderedPageBreak/>
        <w:t>dönt a Parkoló Alap – parkoló létesítésre - a Környezetvédelmi Alap –környezetvédelemre - történő felhasználásáról (2/2013. (II.19.) rendelet 24. §(1) bekezdés),</w:t>
      </w:r>
    </w:p>
    <w:p w:rsidR="002705D3" w:rsidRPr="00D50D3A" w:rsidRDefault="002705D3" w:rsidP="002705D3"/>
    <w:p w:rsidR="002705D3" w:rsidRPr="00D50D3A" w:rsidRDefault="002705D3" w:rsidP="002705D3">
      <w:pPr>
        <w:rPr>
          <w:b/>
          <w:bCs/>
        </w:rPr>
      </w:pPr>
      <w:r w:rsidRPr="00D50D3A">
        <w:rPr>
          <w:b/>
          <w:bCs/>
        </w:rPr>
        <w:t>3.</w:t>
      </w:r>
      <w:r w:rsidRPr="00D50D3A">
        <w:rPr>
          <w:b/>
          <w:u w:val="single"/>
        </w:rPr>
        <w:t xml:space="preserve"> Humán Ügyek Bizottsága</w:t>
      </w:r>
    </w:p>
    <w:p w:rsidR="002705D3" w:rsidRPr="00D50D3A" w:rsidRDefault="002705D3" w:rsidP="002705D3">
      <w:pPr>
        <w:rPr>
          <w:bCs/>
        </w:rPr>
      </w:pPr>
    </w:p>
    <w:p w:rsidR="002705D3" w:rsidRPr="00D50D3A" w:rsidRDefault="002705D3" w:rsidP="002705D3">
      <w:pPr>
        <w:numPr>
          <w:ilvl w:val="1"/>
          <w:numId w:val="5"/>
        </w:numPr>
        <w:tabs>
          <w:tab w:val="num" w:pos="720"/>
        </w:tabs>
        <w:ind w:left="720"/>
        <w:jc w:val="both"/>
      </w:pPr>
      <w:r w:rsidRPr="00D50D3A">
        <w:t>jóváhagyja az intézmények munkatervben rögzített közművelődési feladatait (31/2003. (IX.08.) rendelet 5. § (4) bekezdés),</w:t>
      </w:r>
    </w:p>
    <w:p w:rsidR="002705D3" w:rsidRPr="00D50D3A" w:rsidRDefault="002705D3" w:rsidP="002705D3">
      <w:pPr>
        <w:numPr>
          <w:ilvl w:val="1"/>
          <w:numId w:val="5"/>
        </w:numPr>
        <w:tabs>
          <w:tab w:val="num" w:pos="720"/>
        </w:tabs>
        <w:ind w:left="720"/>
        <w:jc w:val="both"/>
      </w:pPr>
      <w:r w:rsidRPr="00D50D3A">
        <w:t>jóváhagyja a Ferencvárosi Nyári Játékok Közhasznú Társaság terveit és beszámolóit (31/2003. IX.08) rendelet 5. § (6) bekezdés)</w:t>
      </w:r>
    </w:p>
    <w:p w:rsidR="002705D3" w:rsidRPr="00D50D3A" w:rsidRDefault="002705D3" w:rsidP="002705D3">
      <w:pPr>
        <w:numPr>
          <w:ilvl w:val="1"/>
          <w:numId w:val="5"/>
        </w:numPr>
        <w:tabs>
          <w:tab w:val="num" w:pos="720"/>
        </w:tabs>
        <w:ind w:left="720"/>
        <w:jc w:val="both"/>
      </w:pPr>
      <w:r w:rsidRPr="00D50D3A">
        <w:t>dönt állami gondozásba került fiatalok részére lakás bérbeadásáról (7/2006. (III.10.) rendelet 4.§ (5) bekezdés),</w:t>
      </w:r>
    </w:p>
    <w:p w:rsidR="002705D3" w:rsidRPr="00D50D3A" w:rsidRDefault="002705D3" w:rsidP="002705D3">
      <w:pPr>
        <w:numPr>
          <w:ilvl w:val="1"/>
          <w:numId w:val="5"/>
        </w:numPr>
        <w:tabs>
          <w:tab w:val="num" w:pos="720"/>
        </w:tabs>
        <w:ind w:left="720"/>
        <w:jc w:val="both"/>
      </w:pPr>
      <w:r w:rsidRPr="00D50D3A">
        <w:t>dönt a sportfeladatokkal kapcsolatos fenntartói, felügyeleti és egyéb jogkörökben (25/2009. (XII. 04.) rendelet 5. § (1) bekezdés),</w:t>
      </w:r>
    </w:p>
    <w:p w:rsidR="002705D3" w:rsidRPr="00D50D3A" w:rsidRDefault="002705D3" w:rsidP="002705D3">
      <w:pPr>
        <w:numPr>
          <w:ilvl w:val="1"/>
          <w:numId w:val="5"/>
        </w:numPr>
        <w:tabs>
          <w:tab w:val="num" w:pos="720"/>
        </w:tabs>
        <w:ind w:left="720"/>
        <w:jc w:val="both"/>
      </w:pPr>
      <w:r w:rsidRPr="00D50D3A">
        <w:t>dönt a Sport Alap pályázati kiírásról (25/2009. (XII. 04.) rendelet 7. § (1) bekezdés),</w:t>
      </w:r>
    </w:p>
    <w:p w:rsidR="002705D3" w:rsidRPr="00D50D3A" w:rsidRDefault="002705D3" w:rsidP="002705D3">
      <w:pPr>
        <w:numPr>
          <w:ilvl w:val="1"/>
          <w:numId w:val="5"/>
        </w:numPr>
        <w:tabs>
          <w:tab w:val="num" w:pos="720"/>
        </w:tabs>
        <w:ind w:left="720"/>
        <w:jc w:val="both"/>
      </w:pPr>
      <w:r w:rsidRPr="00D50D3A">
        <w:t>dönt a Sport Alap pályázati támogatási szerződés támogatottjainak szakmai beszámolójának elfogadásáról (25/2009. (XII. 04.) rendelet 8.§ (3) bekezdés),</w:t>
      </w:r>
    </w:p>
    <w:p w:rsidR="002705D3" w:rsidRPr="00D50D3A" w:rsidRDefault="002705D3" w:rsidP="002705D3">
      <w:pPr>
        <w:numPr>
          <w:ilvl w:val="1"/>
          <w:numId w:val="5"/>
        </w:numPr>
        <w:tabs>
          <w:tab w:val="num" w:pos="720"/>
        </w:tabs>
        <w:ind w:left="720"/>
        <w:jc w:val="both"/>
        <w:rPr>
          <w:bCs/>
        </w:rPr>
      </w:pPr>
      <w:r w:rsidRPr="00D50D3A">
        <w:rPr>
          <w:bCs/>
        </w:rPr>
        <w:t>dönt a tárgyév költségvetésének elfogadását követő bizottsági ülésén a sport célú támogatás pályázati kiírásáról (</w:t>
      </w:r>
      <w:r w:rsidRPr="00D50D3A">
        <w:t>25/2009. (XII. 04.) rendelet 9.§ (1) bekezdés),</w:t>
      </w:r>
    </w:p>
    <w:p w:rsidR="002705D3" w:rsidRPr="00D50D3A" w:rsidRDefault="002705D3" w:rsidP="002705D3">
      <w:pPr>
        <w:numPr>
          <w:ilvl w:val="1"/>
          <w:numId w:val="5"/>
        </w:numPr>
        <w:tabs>
          <w:tab w:val="num" w:pos="720"/>
        </w:tabs>
        <w:ind w:left="720"/>
        <w:jc w:val="both"/>
        <w:rPr>
          <w:bCs/>
        </w:rPr>
      </w:pPr>
      <w:r w:rsidRPr="00D50D3A">
        <w:t>dönt a sport célú támogatás pályázatának elbírálásáról a (25/2009. (XII. 04. rendelet 9.§ (4) bekezdés)</w:t>
      </w:r>
    </w:p>
    <w:p w:rsidR="002705D3" w:rsidRPr="00D50D3A" w:rsidRDefault="002705D3" w:rsidP="002705D3">
      <w:pPr>
        <w:numPr>
          <w:ilvl w:val="1"/>
          <w:numId w:val="5"/>
        </w:numPr>
        <w:tabs>
          <w:tab w:val="num" w:pos="720"/>
        </w:tabs>
        <w:ind w:left="720"/>
        <w:jc w:val="both"/>
        <w:rPr>
          <w:bCs/>
        </w:rPr>
      </w:pPr>
      <w:r w:rsidRPr="00D50D3A">
        <w:t xml:space="preserve"> dönt a sport célú támogatás összegének felhasználásáról készített szakmai beszámoló elfogadásáról (25/2009. (XII. 04.) rendelet 10.§ (4) bekezdés)</w:t>
      </w:r>
    </w:p>
    <w:p w:rsidR="002705D3" w:rsidRPr="00D50D3A" w:rsidRDefault="002705D3" w:rsidP="002705D3">
      <w:pPr>
        <w:numPr>
          <w:ilvl w:val="1"/>
          <w:numId w:val="5"/>
        </w:numPr>
        <w:tabs>
          <w:tab w:val="num" w:pos="720"/>
        </w:tabs>
        <w:ind w:left="720"/>
        <w:jc w:val="both"/>
      </w:pPr>
      <w:r w:rsidRPr="00D50D3A">
        <w:t>dönt az időskorúak átmeneti elhelyezése időtartamának meghosszabbításáról (24/2011. (IX. 26.) rendelet 20.§ (3) bekezdés),</w:t>
      </w:r>
    </w:p>
    <w:p w:rsidR="002705D3" w:rsidRPr="00D50D3A" w:rsidRDefault="002705D3" w:rsidP="002705D3">
      <w:pPr>
        <w:numPr>
          <w:ilvl w:val="1"/>
          <w:numId w:val="5"/>
        </w:numPr>
        <w:tabs>
          <w:tab w:val="num" w:pos="720"/>
        </w:tabs>
        <w:ind w:left="720"/>
        <w:jc w:val="both"/>
      </w:pPr>
      <w:r w:rsidRPr="00D50D3A">
        <w:t>dönt az időskorúak átmeneti elhelyezéséről üres férőhely esetén egyéb fővárosi lakóhelyű rászorult esetén (24/2011. (IX. 26.) rendelet 19.§ (3) bekezdés),</w:t>
      </w:r>
    </w:p>
    <w:p w:rsidR="002705D3" w:rsidRPr="00D50D3A" w:rsidRDefault="002705D3" w:rsidP="002705D3">
      <w:pPr>
        <w:numPr>
          <w:ilvl w:val="1"/>
          <w:numId w:val="5"/>
        </w:numPr>
        <w:tabs>
          <w:tab w:val="num" w:pos="720"/>
        </w:tabs>
        <w:ind w:left="720"/>
        <w:jc w:val="both"/>
      </w:pPr>
      <w:r w:rsidRPr="00D50D3A">
        <w:t>dönt az intézményi jogviszony megszüntetése elleni fellebbezésről (24/2011. (IX. 26.) rendelet 20.§ (2) bekezdés),</w:t>
      </w:r>
    </w:p>
    <w:p w:rsidR="002705D3" w:rsidRPr="00D50D3A" w:rsidRDefault="002705D3" w:rsidP="002705D3">
      <w:pPr>
        <w:numPr>
          <w:ilvl w:val="1"/>
          <w:numId w:val="5"/>
        </w:numPr>
        <w:tabs>
          <w:tab w:val="num" w:pos="720"/>
        </w:tabs>
        <w:ind w:left="720"/>
        <w:jc w:val="both"/>
      </w:pPr>
      <w:r w:rsidRPr="00D50D3A">
        <w:t>dönt a 25 ezer forint feletti intézményi személyi térítési díj tartozás csökkentéséről, elengedéséről (24/2011. (IX. 26.) rendelet 26.§ (2) bekezdés),</w:t>
      </w:r>
    </w:p>
    <w:p w:rsidR="002705D3" w:rsidRPr="00D50D3A" w:rsidRDefault="002705D3" w:rsidP="002705D3">
      <w:pPr>
        <w:numPr>
          <w:ilvl w:val="1"/>
          <w:numId w:val="5"/>
        </w:numPr>
        <w:tabs>
          <w:tab w:val="num" w:pos="720"/>
        </w:tabs>
        <w:ind w:left="720"/>
        <w:jc w:val="both"/>
      </w:pPr>
      <w:r w:rsidRPr="00D50D3A">
        <w:t>dönt a személyes gondoskodást nyújtó ellátás jogosulatlanul igénybe vett a térítési összegének és kamatának elengedéséről, csökkentéséről (24/2011.(IX.26.) rendelet 26.§ (1) bekezdés),</w:t>
      </w:r>
    </w:p>
    <w:p w:rsidR="002705D3" w:rsidRPr="00D50D3A" w:rsidRDefault="002705D3" w:rsidP="002705D3">
      <w:pPr>
        <w:numPr>
          <w:ilvl w:val="1"/>
          <w:numId w:val="5"/>
        </w:numPr>
        <w:tabs>
          <w:tab w:val="num" w:pos="720"/>
        </w:tabs>
        <w:ind w:left="720"/>
        <w:jc w:val="both"/>
      </w:pPr>
      <w:r w:rsidRPr="00D50D3A">
        <w:t xml:space="preserve">rangsorolja és a Képviselő-testület elé terjeszti a „Pro </w:t>
      </w:r>
      <w:proofErr w:type="spellStart"/>
      <w:r w:rsidRPr="00D50D3A">
        <w:t>Sanitate</w:t>
      </w:r>
      <w:proofErr w:type="spellEnd"/>
      <w:r w:rsidRPr="00D50D3A">
        <w:t xml:space="preserve"> Ferencváros” díj, „Pro </w:t>
      </w:r>
      <w:proofErr w:type="spellStart"/>
      <w:r w:rsidRPr="00D50D3A">
        <w:t>Facultate</w:t>
      </w:r>
      <w:proofErr w:type="spellEnd"/>
      <w:r w:rsidRPr="00D50D3A">
        <w:t xml:space="preserve"> Ferencváros”díj, „</w:t>
      </w:r>
      <w:proofErr w:type="spellStart"/>
      <w:r w:rsidRPr="00D50D3A">
        <w:t>Humanitas</w:t>
      </w:r>
      <w:proofErr w:type="spellEnd"/>
      <w:r w:rsidRPr="00D50D3A">
        <w:t xml:space="preserve"> Ferencváros” díj, „Ferencváros József Attila díja”, „Ferencváros Sportjáért” díj adományozására beérkező javaslatokat (25/2012. (VII.16) rendelet 4.§(7) bekezdés, 5.§(7) bekezdés, 6.§(7) bekezdés, 8.§(7) bekezdés, 10. §(7) bekezdés) </w:t>
      </w:r>
    </w:p>
    <w:p w:rsidR="002705D3" w:rsidRPr="00D50D3A" w:rsidRDefault="002705D3" w:rsidP="002705D3">
      <w:pPr>
        <w:numPr>
          <w:ilvl w:val="1"/>
          <w:numId w:val="5"/>
        </w:numPr>
        <w:tabs>
          <w:tab w:val="num" w:pos="720"/>
        </w:tabs>
        <w:ind w:left="720"/>
        <w:jc w:val="both"/>
      </w:pPr>
      <w:r w:rsidRPr="00D50D3A">
        <w:t>dönt a megjelölt címeken belül a kiadási előirányzatok átcsoportosításról és felhasználásáról az előirányzatok összeghatáráig (2/2013. (II. 19.) számú rendelet 20.§ (1) bekezdés)</w:t>
      </w:r>
    </w:p>
    <w:p w:rsidR="002705D3" w:rsidRPr="00D50D3A" w:rsidRDefault="002705D3" w:rsidP="002705D3">
      <w:pPr>
        <w:jc w:val="right"/>
        <w:rPr>
          <w:bCs/>
        </w:rPr>
      </w:pPr>
    </w:p>
    <w:p w:rsidR="002705D3" w:rsidRPr="00D50D3A" w:rsidRDefault="002705D3" w:rsidP="002705D3">
      <w:pPr>
        <w:rPr>
          <w:b/>
          <w:bCs/>
        </w:rPr>
      </w:pPr>
      <w:r w:rsidRPr="00D50D3A">
        <w:rPr>
          <w:b/>
        </w:rPr>
        <w:t>4. Vagyonnyilatkozat Ellenőrzési és Összeférhetetlenségi Bizottság</w:t>
      </w:r>
    </w:p>
    <w:p w:rsidR="002705D3" w:rsidRPr="00D50D3A" w:rsidRDefault="002705D3" w:rsidP="002705D3">
      <w:pPr>
        <w:jc w:val="both"/>
        <w:rPr>
          <w:bCs/>
        </w:rPr>
      </w:pPr>
    </w:p>
    <w:p w:rsidR="002705D3" w:rsidRPr="00D50D3A" w:rsidRDefault="002705D3" w:rsidP="002705D3">
      <w:pPr>
        <w:numPr>
          <w:ilvl w:val="0"/>
          <w:numId w:val="6"/>
        </w:numPr>
        <w:jc w:val="both"/>
        <w:rPr>
          <w:bCs/>
        </w:rPr>
      </w:pPr>
      <w:r w:rsidRPr="00D50D3A">
        <w:rPr>
          <w:bCs/>
        </w:rPr>
        <w:t>dönt a képviselők, nem képviselő bizottsági tagok tiszteletdíjának mérsékléséről (5/1995. (II. 23.) önkormányzati rendelet 7. § (10) bekezdés)</w:t>
      </w:r>
    </w:p>
    <w:p w:rsidR="002705D3" w:rsidRPr="00D50D3A" w:rsidRDefault="002705D3" w:rsidP="002705D3">
      <w:pPr>
        <w:ind w:left="360"/>
        <w:jc w:val="both"/>
        <w:rPr>
          <w:bCs/>
        </w:rPr>
      </w:pPr>
    </w:p>
    <w:p w:rsidR="002705D3" w:rsidRPr="00D50D3A" w:rsidRDefault="002705D3" w:rsidP="002705D3">
      <w:pPr>
        <w:ind w:left="360"/>
        <w:jc w:val="both"/>
        <w:rPr>
          <w:bCs/>
        </w:rPr>
      </w:pPr>
    </w:p>
    <w:p w:rsidR="002705D3" w:rsidRPr="00D50D3A" w:rsidRDefault="002705D3" w:rsidP="002705D3"/>
    <w:p w:rsidR="002705D3" w:rsidRPr="00D50D3A" w:rsidRDefault="002705D3" w:rsidP="002705D3">
      <w:pPr>
        <w:jc w:val="both"/>
      </w:pPr>
    </w:p>
    <w:p w:rsidR="002705D3" w:rsidRPr="00D50D3A" w:rsidRDefault="002705D3" w:rsidP="002705D3">
      <w:pPr>
        <w:jc w:val="both"/>
      </w:pPr>
    </w:p>
    <w:p w:rsidR="002705D3" w:rsidRPr="00D50D3A" w:rsidRDefault="002705D3" w:rsidP="002705D3"/>
    <w:p w:rsidR="002705D3" w:rsidRPr="00D50D3A" w:rsidRDefault="002705D3" w:rsidP="002705D3"/>
    <w:p w:rsidR="002951D6" w:rsidRDefault="002951D6"/>
    <w:sectPr w:rsidR="002951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5D3" w:rsidRDefault="002705D3" w:rsidP="002705D3">
      <w:r>
        <w:separator/>
      </w:r>
    </w:p>
  </w:endnote>
  <w:endnote w:type="continuationSeparator" w:id="0">
    <w:p w:rsidR="002705D3" w:rsidRDefault="002705D3" w:rsidP="0027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5D3" w:rsidRDefault="002705D3" w:rsidP="002705D3">
      <w:r>
        <w:separator/>
      </w:r>
    </w:p>
  </w:footnote>
  <w:footnote w:type="continuationSeparator" w:id="0">
    <w:p w:rsidR="002705D3" w:rsidRDefault="002705D3" w:rsidP="002705D3">
      <w:r>
        <w:continuationSeparator/>
      </w:r>
    </w:p>
  </w:footnote>
  <w:footnote w:id="1">
    <w:p w:rsidR="002705D3" w:rsidRDefault="002705D3" w:rsidP="002705D3">
      <w:pPr>
        <w:pStyle w:val="Lbjegyzetszveg"/>
      </w:pPr>
      <w:r>
        <w:rPr>
          <w:rStyle w:val="Lbjegyzet-hivatkozs"/>
        </w:rPr>
        <w:footnoteRef/>
      </w:r>
      <w:r>
        <w:t xml:space="preserve"> Kiegészítette a </w:t>
      </w:r>
      <w:r w:rsidRPr="007356E6">
        <w:t>13/2013. (V.21.)</w:t>
      </w:r>
      <w:r>
        <w:t xml:space="preserve"> rendelet 32.§ (2) bekezdése, hatályos 2013. május 22-től.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F6D"/>
    <w:multiLevelType w:val="hybridMultilevel"/>
    <w:tmpl w:val="B600BB44"/>
    <w:lvl w:ilvl="0" w:tplc="22B4B51E">
      <w:start w:val="1"/>
      <w:numFmt w:val="lowerLetter"/>
      <w:lvlText w:val="%1)"/>
      <w:lvlJc w:val="left"/>
      <w:pPr>
        <w:tabs>
          <w:tab w:val="num" w:pos="780"/>
        </w:tabs>
        <w:ind w:left="780" w:hanging="360"/>
      </w:pPr>
      <w:rPr>
        <w:rFonts w:cs="Times New Roman" w:hint="default"/>
      </w:rPr>
    </w:lvl>
    <w:lvl w:ilvl="1" w:tplc="D36C6416">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14C0EE7"/>
    <w:multiLevelType w:val="hybridMultilevel"/>
    <w:tmpl w:val="E1202FC4"/>
    <w:lvl w:ilvl="0" w:tplc="E112214A">
      <w:start w:val="1"/>
      <w:numFmt w:val="decimal"/>
      <w:lvlText w:val="%1)"/>
      <w:lvlJc w:val="right"/>
      <w:pPr>
        <w:tabs>
          <w:tab w:val="num" w:pos="360"/>
        </w:tabs>
        <w:ind w:left="360" w:hanging="360"/>
      </w:pPr>
      <w:rPr>
        <w:rFonts w:cs="Times New Roman" w:hint="default"/>
        <w:b w:val="0"/>
        <w:bCs w:val="0"/>
        <w:i w:val="0"/>
        <w:iCs w:val="0"/>
      </w:rPr>
    </w:lvl>
    <w:lvl w:ilvl="1" w:tplc="040E0019">
      <w:start w:val="1"/>
      <w:numFmt w:val="lowerLetter"/>
      <w:lvlText w:val="%2."/>
      <w:lvlJc w:val="left"/>
      <w:pPr>
        <w:tabs>
          <w:tab w:val="num" w:pos="1080"/>
        </w:tabs>
        <w:ind w:left="1080" w:hanging="360"/>
      </w:pPr>
      <w:rPr>
        <w:rFonts w:cs="Times New Roman"/>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2">
    <w:nsid w:val="3D982F63"/>
    <w:multiLevelType w:val="hybridMultilevel"/>
    <w:tmpl w:val="8C58A104"/>
    <w:lvl w:ilvl="0" w:tplc="3E20B072">
      <w:start w:val="1"/>
      <w:numFmt w:val="lowerLetter"/>
      <w:lvlText w:val="%1)"/>
      <w:lvlJc w:val="left"/>
      <w:pPr>
        <w:tabs>
          <w:tab w:val="num" w:pos="780"/>
        </w:tabs>
        <w:ind w:left="780" w:hanging="360"/>
      </w:pPr>
      <w:rPr>
        <w:rFonts w:ascii="Times New Roman" w:eastAsia="Times New Roman" w:hAnsi="Times New Roman" w:cs="Times New Roman"/>
      </w:rPr>
    </w:lvl>
    <w:lvl w:ilvl="1" w:tplc="9FB8E004">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5AF653B5"/>
    <w:multiLevelType w:val="singleLevel"/>
    <w:tmpl w:val="040E0011"/>
    <w:lvl w:ilvl="0">
      <w:start w:val="1"/>
      <w:numFmt w:val="decimal"/>
      <w:lvlText w:val="%1)"/>
      <w:lvlJc w:val="left"/>
      <w:pPr>
        <w:tabs>
          <w:tab w:val="num" w:pos="360"/>
        </w:tabs>
        <w:ind w:left="360" w:hanging="360"/>
      </w:pPr>
      <w:rPr>
        <w:rFonts w:cs="Times New Roman"/>
      </w:rPr>
    </w:lvl>
  </w:abstractNum>
  <w:abstractNum w:abstractNumId="4">
    <w:nsid w:val="7AA13B55"/>
    <w:multiLevelType w:val="hybridMultilevel"/>
    <w:tmpl w:val="E4925E9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7D236A9A"/>
    <w:multiLevelType w:val="hybridMultilevel"/>
    <w:tmpl w:val="440CCF44"/>
    <w:lvl w:ilvl="0" w:tplc="040E0011">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5D3"/>
    <w:rsid w:val="002705D3"/>
    <w:rsid w:val="002951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05D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705D3"/>
    <w:pPr>
      <w:keepNext/>
      <w:widowControl w:val="0"/>
      <w:autoSpaceDE w:val="0"/>
      <w:autoSpaceDN w:val="0"/>
      <w:jc w:val="center"/>
      <w:outlineLvl w:val="0"/>
    </w:pPr>
    <w:rPr>
      <w:b/>
      <w:bCs/>
    </w:rPr>
  </w:style>
  <w:style w:type="paragraph" w:styleId="Cmsor2">
    <w:name w:val="heading 2"/>
    <w:basedOn w:val="Norml"/>
    <w:next w:val="Norml"/>
    <w:link w:val="Cmsor2Char"/>
    <w:qFormat/>
    <w:rsid w:val="002705D3"/>
    <w:pPr>
      <w:keepNext/>
      <w:widowControl w:val="0"/>
      <w:autoSpaceDE w:val="0"/>
      <w:autoSpaceDN w:val="0"/>
      <w:spacing w:before="240" w:after="60"/>
      <w:outlineLvl w:val="1"/>
    </w:pPr>
    <w:rPr>
      <w:rFonts w:ascii="Arial" w:hAnsi="Arial" w:cs="Arial"/>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705D3"/>
    <w:rPr>
      <w:rFonts w:ascii="Times New Roman" w:eastAsia="Times New Roman" w:hAnsi="Times New Roman" w:cs="Times New Roman"/>
      <w:b/>
      <w:bCs/>
      <w:sz w:val="24"/>
      <w:szCs w:val="24"/>
      <w:lang w:eastAsia="hu-HU"/>
    </w:rPr>
  </w:style>
  <w:style w:type="character" w:customStyle="1" w:styleId="Cmsor2Char">
    <w:name w:val="Címsor 2 Char"/>
    <w:basedOn w:val="Bekezdsalapbettpusa"/>
    <w:link w:val="Cmsor2"/>
    <w:rsid w:val="002705D3"/>
    <w:rPr>
      <w:rFonts w:ascii="Arial" w:eastAsia="Times New Roman" w:hAnsi="Arial" w:cs="Arial"/>
      <w:b/>
      <w:bCs/>
      <w:i/>
      <w:iCs/>
      <w:sz w:val="24"/>
      <w:szCs w:val="24"/>
      <w:lang w:eastAsia="hu-HU"/>
    </w:rPr>
  </w:style>
  <w:style w:type="paragraph" w:styleId="Szvegtrzs2">
    <w:name w:val="Body Text 2"/>
    <w:basedOn w:val="Norml"/>
    <w:link w:val="Szvegtrzs2Char"/>
    <w:rsid w:val="002705D3"/>
    <w:pPr>
      <w:jc w:val="both"/>
    </w:pPr>
    <w:rPr>
      <w:rFonts w:ascii="Arial Narrow" w:hAnsi="Arial Narrow" w:cs="Arial Narrow"/>
      <w:b/>
      <w:bCs/>
      <w:i/>
      <w:iCs/>
      <w:sz w:val="22"/>
      <w:szCs w:val="22"/>
    </w:rPr>
  </w:style>
  <w:style w:type="character" w:customStyle="1" w:styleId="Szvegtrzs2Char">
    <w:name w:val="Szövegtörzs 2 Char"/>
    <w:basedOn w:val="Bekezdsalapbettpusa"/>
    <w:link w:val="Szvegtrzs2"/>
    <w:rsid w:val="002705D3"/>
    <w:rPr>
      <w:rFonts w:ascii="Arial Narrow" w:eastAsia="Times New Roman" w:hAnsi="Arial Narrow" w:cs="Arial Narrow"/>
      <w:b/>
      <w:bCs/>
      <w:i/>
      <w:iCs/>
      <w:lang w:eastAsia="hu-HU"/>
    </w:rPr>
  </w:style>
  <w:style w:type="paragraph" w:styleId="Lbjegyzetszveg">
    <w:name w:val="footnote text"/>
    <w:basedOn w:val="Norml"/>
    <w:link w:val="LbjegyzetszvegChar"/>
    <w:semiHidden/>
    <w:rsid w:val="002705D3"/>
    <w:rPr>
      <w:sz w:val="20"/>
      <w:szCs w:val="20"/>
    </w:rPr>
  </w:style>
  <w:style w:type="character" w:customStyle="1" w:styleId="LbjegyzetszvegChar">
    <w:name w:val="Lábjegyzetszöveg Char"/>
    <w:basedOn w:val="Bekezdsalapbettpusa"/>
    <w:link w:val="Lbjegyzetszveg"/>
    <w:semiHidden/>
    <w:rsid w:val="002705D3"/>
    <w:rPr>
      <w:rFonts w:ascii="Times New Roman" w:eastAsia="Times New Roman" w:hAnsi="Times New Roman" w:cs="Times New Roman"/>
      <w:sz w:val="20"/>
      <w:szCs w:val="20"/>
      <w:lang w:eastAsia="hu-HU"/>
    </w:rPr>
  </w:style>
  <w:style w:type="character" w:styleId="Lbjegyzet-hivatkozs">
    <w:name w:val="footnote reference"/>
    <w:rsid w:val="002705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05D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705D3"/>
    <w:pPr>
      <w:keepNext/>
      <w:widowControl w:val="0"/>
      <w:autoSpaceDE w:val="0"/>
      <w:autoSpaceDN w:val="0"/>
      <w:jc w:val="center"/>
      <w:outlineLvl w:val="0"/>
    </w:pPr>
    <w:rPr>
      <w:b/>
      <w:bCs/>
    </w:rPr>
  </w:style>
  <w:style w:type="paragraph" w:styleId="Cmsor2">
    <w:name w:val="heading 2"/>
    <w:basedOn w:val="Norml"/>
    <w:next w:val="Norml"/>
    <w:link w:val="Cmsor2Char"/>
    <w:qFormat/>
    <w:rsid w:val="002705D3"/>
    <w:pPr>
      <w:keepNext/>
      <w:widowControl w:val="0"/>
      <w:autoSpaceDE w:val="0"/>
      <w:autoSpaceDN w:val="0"/>
      <w:spacing w:before="240" w:after="60"/>
      <w:outlineLvl w:val="1"/>
    </w:pPr>
    <w:rPr>
      <w:rFonts w:ascii="Arial" w:hAnsi="Arial" w:cs="Arial"/>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705D3"/>
    <w:rPr>
      <w:rFonts w:ascii="Times New Roman" w:eastAsia="Times New Roman" w:hAnsi="Times New Roman" w:cs="Times New Roman"/>
      <w:b/>
      <w:bCs/>
      <w:sz w:val="24"/>
      <w:szCs w:val="24"/>
      <w:lang w:eastAsia="hu-HU"/>
    </w:rPr>
  </w:style>
  <w:style w:type="character" w:customStyle="1" w:styleId="Cmsor2Char">
    <w:name w:val="Címsor 2 Char"/>
    <w:basedOn w:val="Bekezdsalapbettpusa"/>
    <w:link w:val="Cmsor2"/>
    <w:rsid w:val="002705D3"/>
    <w:rPr>
      <w:rFonts w:ascii="Arial" w:eastAsia="Times New Roman" w:hAnsi="Arial" w:cs="Arial"/>
      <w:b/>
      <w:bCs/>
      <w:i/>
      <w:iCs/>
      <w:sz w:val="24"/>
      <w:szCs w:val="24"/>
      <w:lang w:eastAsia="hu-HU"/>
    </w:rPr>
  </w:style>
  <w:style w:type="paragraph" w:styleId="Szvegtrzs2">
    <w:name w:val="Body Text 2"/>
    <w:basedOn w:val="Norml"/>
    <w:link w:val="Szvegtrzs2Char"/>
    <w:rsid w:val="002705D3"/>
    <w:pPr>
      <w:jc w:val="both"/>
    </w:pPr>
    <w:rPr>
      <w:rFonts w:ascii="Arial Narrow" w:hAnsi="Arial Narrow" w:cs="Arial Narrow"/>
      <w:b/>
      <w:bCs/>
      <w:i/>
      <w:iCs/>
      <w:sz w:val="22"/>
      <w:szCs w:val="22"/>
    </w:rPr>
  </w:style>
  <w:style w:type="character" w:customStyle="1" w:styleId="Szvegtrzs2Char">
    <w:name w:val="Szövegtörzs 2 Char"/>
    <w:basedOn w:val="Bekezdsalapbettpusa"/>
    <w:link w:val="Szvegtrzs2"/>
    <w:rsid w:val="002705D3"/>
    <w:rPr>
      <w:rFonts w:ascii="Arial Narrow" w:eastAsia="Times New Roman" w:hAnsi="Arial Narrow" w:cs="Arial Narrow"/>
      <w:b/>
      <w:bCs/>
      <w:i/>
      <w:iCs/>
      <w:lang w:eastAsia="hu-HU"/>
    </w:rPr>
  </w:style>
  <w:style w:type="paragraph" w:styleId="Lbjegyzetszveg">
    <w:name w:val="footnote text"/>
    <w:basedOn w:val="Norml"/>
    <w:link w:val="LbjegyzetszvegChar"/>
    <w:semiHidden/>
    <w:rsid w:val="002705D3"/>
    <w:rPr>
      <w:sz w:val="20"/>
      <w:szCs w:val="20"/>
    </w:rPr>
  </w:style>
  <w:style w:type="character" w:customStyle="1" w:styleId="LbjegyzetszvegChar">
    <w:name w:val="Lábjegyzetszöveg Char"/>
    <w:basedOn w:val="Bekezdsalapbettpusa"/>
    <w:link w:val="Lbjegyzetszveg"/>
    <w:semiHidden/>
    <w:rsid w:val="002705D3"/>
    <w:rPr>
      <w:rFonts w:ascii="Times New Roman" w:eastAsia="Times New Roman" w:hAnsi="Times New Roman" w:cs="Times New Roman"/>
      <w:sz w:val="20"/>
      <w:szCs w:val="20"/>
      <w:lang w:eastAsia="hu-HU"/>
    </w:rPr>
  </w:style>
  <w:style w:type="character" w:styleId="Lbjegyzet-hivatkozs">
    <w:name w:val="footnote reference"/>
    <w:rsid w:val="00270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3272</Words>
  <Characters>22583</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Koór Henrietta</dc:creator>
  <cp:lastModifiedBy>Koór Henrietta</cp:lastModifiedBy>
  <cp:revision>1</cp:revision>
  <dcterms:created xsi:type="dcterms:W3CDTF">2014-01-14T10:17:00Z</dcterms:created>
  <dcterms:modified xsi:type="dcterms:W3CDTF">2014-01-14T10:17:00Z</dcterms:modified>
</cp:coreProperties>
</file>