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0A" w:rsidRPr="009509FD" w:rsidRDefault="00E4020A" w:rsidP="00E4020A">
      <w:pPr>
        <w:suppressAutoHyphens/>
        <w:autoSpaceDE/>
        <w:adjustRightInd/>
        <w:textAlignment w:val="baseline"/>
        <w:rPr>
          <w:rFonts w:eastAsia="SimSun" w:cs="Mangal"/>
          <w:kern w:val="3"/>
          <w:lang w:eastAsia="zh-CN" w:bidi="hi-IN"/>
        </w:rPr>
      </w:pPr>
      <w:r w:rsidRPr="009509FD">
        <w:rPr>
          <w:rFonts w:eastAsia="SimSun" w:cs="Mangal"/>
          <w:iCs/>
          <w:kern w:val="3"/>
          <w:lang w:eastAsia="zh-CN" w:bidi="hi-IN"/>
        </w:rPr>
        <w:t>3. melléklet a 13/2013. (III. 28.) önkormányzati rendelethez</w:t>
      </w:r>
    </w:p>
    <w:p w:rsidR="00E4020A" w:rsidRPr="009509FD" w:rsidRDefault="00E4020A" w:rsidP="00E4020A">
      <w:pPr>
        <w:suppressAutoHyphens/>
        <w:autoSpaceDE/>
        <w:adjustRightInd/>
        <w:jc w:val="right"/>
        <w:textAlignment w:val="baseline"/>
        <w:rPr>
          <w:rFonts w:eastAsia="SimSun" w:cs="Mangal"/>
          <w:iCs/>
          <w:kern w:val="3"/>
          <w:lang w:eastAsia="zh-CN" w:bidi="hi-IN"/>
        </w:rPr>
      </w:pPr>
    </w:p>
    <w:p w:rsidR="00E4020A" w:rsidRPr="009509FD" w:rsidRDefault="00E4020A" w:rsidP="00E4020A">
      <w:pPr>
        <w:tabs>
          <w:tab w:val="left" w:pos="210"/>
        </w:tabs>
        <w:suppressAutoHyphens/>
        <w:autoSpaceDE/>
        <w:adjustRightInd/>
        <w:jc w:val="center"/>
        <w:textAlignment w:val="baseline"/>
        <w:rPr>
          <w:rFonts w:eastAsia="SimSun" w:cs="Mangal"/>
          <w:iCs/>
          <w:kern w:val="3"/>
          <w:lang w:eastAsia="zh-CN" w:bidi="hi-IN"/>
        </w:rPr>
      </w:pPr>
    </w:p>
    <w:p w:rsidR="00E4020A" w:rsidRPr="009509FD" w:rsidRDefault="00E4020A" w:rsidP="00E4020A">
      <w:pPr>
        <w:tabs>
          <w:tab w:val="left" w:pos="210"/>
        </w:tabs>
        <w:suppressAutoHyphens/>
        <w:autoSpaceDE/>
        <w:adjustRightInd/>
        <w:jc w:val="center"/>
        <w:textAlignment w:val="baseline"/>
        <w:rPr>
          <w:rFonts w:eastAsia="SimSun" w:cs="Mangal"/>
          <w:b/>
          <w:bCs/>
          <w:iCs/>
          <w:kern w:val="3"/>
          <w:lang w:eastAsia="zh-CN" w:bidi="hi-IN"/>
        </w:rPr>
      </w:pPr>
      <w:r w:rsidRPr="009509FD">
        <w:rPr>
          <w:rFonts w:eastAsia="SimSun" w:cs="Mangal"/>
          <w:b/>
          <w:bCs/>
          <w:iCs/>
          <w:kern w:val="3"/>
          <w:lang w:eastAsia="zh-CN" w:bidi="hi-IN"/>
        </w:rPr>
        <w:t>Debrecen Megyei Jogú Város Önkormányzata által biztosított gyermekjóléti alapellátások intézményi térítési díjai</w:t>
      </w:r>
    </w:p>
    <w:p w:rsidR="00E4020A" w:rsidRPr="009509FD" w:rsidRDefault="00E4020A" w:rsidP="00E4020A">
      <w:pPr>
        <w:tabs>
          <w:tab w:val="left" w:pos="210"/>
        </w:tabs>
        <w:suppressAutoHyphens/>
        <w:autoSpaceDE/>
        <w:adjustRightInd/>
        <w:jc w:val="center"/>
        <w:textAlignment w:val="baseline"/>
        <w:rPr>
          <w:rFonts w:eastAsia="SimSun" w:cs="Mangal"/>
          <w:b/>
          <w:bCs/>
          <w:iCs/>
          <w:kern w:val="3"/>
          <w:lang w:eastAsia="zh-CN" w:bidi="hi-IN"/>
        </w:rPr>
      </w:pPr>
    </w:p>
    <w:p w:rsidR="00E4020A" w:rsidRPr="009509FD" w:rsidRDefault="00E4020A" w:rsidP="00E4020A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bCs/>
          <w:iCs/>
          <w:kern w:val="3"/>
          <w:lang w:eastAsia="zh-CN" w:bidi="hi-IN"/>
        </w:rPr>
      </w:pPr>
    </w:p>
    <w:p w:rsidR="00E4020A" w:rsidRPr="009509FD" w:rsidRDefault="00E4020A" w:rsidP="00E4020A">
      <w:pPr>
        <w:suppressAutoHyphens/>
        <w:autoSpaceDE/>
        <w:adjustRightInd/>
        <w:jc w:val="both"/>
        <w:textAlignment w:val="baseline"/>
        <w:rPr>
          <w:rFonts w:eastAsia="SimSun"/>
          <w:kern w:val="3"/>
          <w:lang w:eastAsia="zh-CN" w:bidi="hi-IN"/>
        </w:rPr>
      </w:pPr>
      <w:proofErr w:type="gramStart"/>
      <w:r w:rsidRPr="009509FD">
        <w:rPr>
          <w:rFonts w:eastAsia="SimSun"/>
          <w:b/>
          <w:bCs/>
          <w:iCs/>
          <w:kern w:val="3"/>
          <w:lang w:eastAsia="zh-CN" w:bidi="hi-IN"/>
        </w:rPr>
        <w:t>A.</w:t>
      </w:r>
      <w:proofErr w:type="gramEnd"/>
      <w:r w:rsidRPr="009509FD">
        <w:rPr>
          <w:rFonts w:eastAsia="SimSun"/>
          <w:b/>
          <w:bCs/>
          <w:iCs/>
          <w:kern w:val="3"/>
          <w:lang w:eastAsia="zh-CN" w:bidi="hi-IN"/>
        </w:rPr>
        <w:t>/ Gyermekek napközbeni ellátása</w:t>
      </w:r>
    </w:p>
    <w:p w:rsidR="00E4020A" w:rsidRPr="009509FD" w:rsidRDefault="00E4020A" w:rsidP="00E4020A">
      <w:pPr>
        <w:suppressAutoHyphens/>
        <w:autoSpaceDE/>
        <w:adjustRightInd/>
        <w:jc w:val="both"/>
        <w:textAlignment w:val="baseline"/>
        <w:rPr>
          <w:rFonts w:eastAsia="SimSun"/>
          <w:iCs/>
          <w:kern w:val="3"/>
          <w:sz w:val="16"/>
          <w:szCs w:val="16"/>
          <w:lang w:eastAsia="zh-CN" w:bidi="hi-IN"/>
        </w:rPr>
      </w:pPr>
    </w:p>
    <w:tbl>
      <w:tblPr>
        <w:tblW w:w="9630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687"/>
        <w:gridCol w:w="2836"/>
        <w:gridCol w:w="2771"/>
      </w:tblGrid>
      <w:tr w:rsidR="00E4020A" w:rsidRPr="009509FD" w:rsidTr="00AC025C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B</w:t>
            </w:r>
          </w:p>
        </w:tc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C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-55" w:right="5"/>
              <w:jc w:val="center"/>
              <w:textAlignment w:val="baseline"/>
              <w:rPr>
                <w:rFonts w:eastAsia="SimSun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b/>
                <w:bCs/>
                <w:iCs/>
                <w:kern w:val="3"/>
                <w:lang w:eastAsia="zh-CN" w:bidi="hi-IN"/>
              </w:rPr>
              <w:t>Ellátási forma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68"/>
              <w:jc w:val="center"/>
              <w:textAlignment w:val="baseline"/>
              <w:rPr>
                <w:rFonts w:eastAsia="SimSun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b/>
                <w:bCs/>
                <w:iCs/>
                <w:kern w:val="3"/>
                <w:lang w:eastAsia="zh-CN" w:bidi="hi-IN"/>
              </w:rPr>
              <w:t>Térítési díj a Gyvt. 147. §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92"/>
              <w:jc w:val="center"/>
              <w:textAlignment w:val="baseline"/>
              <w:rPr>
                <w:rFonts w:eastAsia="SimSun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b/>
                <w:bCs/>
                <w:iCs/>
                <w:kern w:val="3"/>
                <w:lang w:eastAsia="zh-CN" w:bidi="hi-IN"/>
              </w:rPr>
              <w:t>(1) bekezdése alapján</w:t>
            </w: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68"/>
              <w:jc w:val="center"/>
              <w:textAlignment w:val="baseline"/>
              <w:rPr>
                <w:rFonts w:eastAsia="SimSun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b/>
                <w:bCs/>
                <w:iCs/>
                <w:kern w:val="3"/>
                <w:lang w:eastAsia="zh-CN" w:bidi="hi-IN"/>
              </w:rPr>
              <w:t>Térítési díj a Gyvt. 147. §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92"/>
              <w:jc w:val="center"/>
              <w:textAlignment w:val="baseline"/>
              <w:rPr>
                <w:rFonts w:eastAsia="SimSun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b/>
                <w:bCs/>
                <w:iCs/>
                <w:kern w:val="3"/>
                <w:lang w:eastAsia="zh-CN" w:bidi="hi-IN"/>
              </w:rPr>
              <w:t>(4) bekezdése alapján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right="5" w:hanging="19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Bölcsődei gondozás és a Gyvt. 43. § (4) bekezdése alapján a bölcsődei szünet idejére biztosított bölcsődei ellátás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1.835 Ft/nap/fő</w:t>
            </w: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150 Ft/nap/fő*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right="5" w:hanging="15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Alapellátáson túl biztosított szolgáltatások: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44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- időszakos gyermekfelügyelet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535 Ft/óra/fő</w:t>
            </w: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525 Ft/óra/fő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-5" w:right="8" w:hanging="13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 xml:space="preserve">- gyermekfelügyelet hosszított nyitva 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-5" w:right="8" w:hanging="13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 xml:space="preserve">  tartás alatt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1.450 Ft/óra/fő</w:t>
            </w: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1.155 Ft/óra/fő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44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Napközbeni gyermekfelügyelet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1.638 Ft/óra/fő</w:t>
            </w: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0 Ft/óra/fő</w:t>
            </w:r>
          </w:p>
        </w:tc>
      </w:tr>
      <w:tr w:rsidR="00E4020A" w:rsidRPr="009509FD" w:rsidTr="00AC025C"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020A" w:rsidRPr="009509FD" w:rsidRDefault="00E4020A" w:rsidP="00AC025C">
            <w:pPr>
              <w:suppressAutoHyphens/>
              <w:autoSpaceDE/>
              <w:adjustRightInd/>
              <w:snapToGrid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7</w:t>
            </w:r>
          </w:p>
        </w:tc>
        <w:tc>
          <w:tcPr>
            <w:tcW w:w="929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4020A" w:rsidRPr="009509FD" w:rsidRDefault="00E4020A" w:rsidP="00AC025C">
            <w:pPr>
              <w:suppressAutoHyphens/>
              <w:autoSpaceDE/>
              <w:adjustRightInd/>
              <w:snapToGrid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9509FD">
              <w:rPr>
                <w:rFonts w:eastAsia="SimSun"/>
                <w:iCs/>
                <w:kern w:val="3"/>
                <w:lang w:eastAsia="zh-CN" w:bidi="hi-IN"/>
              </w:rPr>
              <w:t>*Az intézmény nyitvatartási napjai számához igazodva, ellátási naponként, kivéve a Gyvt. 43. § (4) bekezdése alapján a bölcsődei szünet idejére biztosított bölcsődei ellátást, mely esetben igénybevételi naponként.</w:t>
            </w:r>
          </w:p>
        </w:tc>
      </w:tr>
    </w:tbl>
    <w:p w:rsidR="00E4020A" w:rsidRPr="009509FD" w:rsidRDefault="00E4020A" w:rsidP="00E4020A">
      <w:pPr>
        <w:suppressAutoHyphens/>
        <w:autoSpaceDE/>
        <w:adjustRightInd/>
        <w:textAlignment w:val="baseline"/>
        <w:rPr>
          <w:rFonts w:eastAsia="SimSun" w:cs="Mangal"/>
          <w:iCs/>
          <w:kern w:val="3"/>
          <w:lang w:eastAsia="zh-CN" w:bidi="hi-IN"/>
        </w:rPr>
      </w:pPr>
    </w:p>
    <w:p w:rsidR="00E4020A" w:rsidRPr="009509FD" w:rsidRDefault="00E4020A" w:rsidP="00E4020A">
      <w:pPr>
        <w:suppressAutoHyphens/>
        <w:autoSpaceDE/>
        <w:adjustRightInd/>
        <w:jc w:val="both"/>
        <w:textAlignment w:val="baseline"/>
        <w:rPr>
          <w:rFonts w:eastAsia="SimSun" w:cs="Mangal"/>
          <w:iCs/>
          <w:kern w:val="3"/>
          <w:lang w:eastAsia="zh-CN" w:bidi="hi-IN"/>
        </w:rPr>
      </w:pPr>
    </w:p>
    <w:p w:rsidR="00E4020A" w:rsidRPr="009509FD" w:rsidRDefault="00E4020A" w:rsidP="00E4020A">
      <w:pPr>
        <w:suppressAutoHyphens/>
        <w:autoSpaceDE/>
        <w:adjustRightInd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9509FD">
        <w:rPr>
          <w:rFonts w:eastAsia="SimSun" w:cs="Mangal"/>
          <w:b/>
          <w:bCs/>
          <w:iCs/>
          <w:kern w:val="3"/>
          <w:lang w:eastAsia="zh-CN" w:bidi="hi-IN"/>
        </w:rPr>
        <w:t>B./ Gyermekek átmeneti gondozása</w:t>
      </w:r>
    </w:p>
    <w:p w:rsidR="00E4020A" w:rsidRPr="009509FD" w:rsidRDefault="00E4020A" w:rsidP="00E4020A">
      <w:pPr>
        <w:suppressAutoHyphens/>
        <w:autoSpaceDE/>
        <w:adjustRightInd/>
        <w:textAlignment w:val="baseline"/>
        <w:rPr>
          <w:rFonts w:eastAsia="SimSun" w:cs="Mangal"/>
          <w:iCs/>
          <w:kern w:val="3"/>
          <w:sz w:val="16"/>
          <w:szCs w:val="16"/>
          <w:lang w:eastAsia="zh-CN" w:bidi="hi-IN"/>
        </w:rPr>
      </w:pPr>
    </w:p>
    <w:tbl>
      <w:tblPr>
        <w:tblW w:w="9617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707"/>
        <w:gridCol w:w="2835"/>
        <w:gridCol w:w="2737"/>
      </w:tblGrid>
      <w:tr w:rsidR="00E4020A" w:rsidRPr="009509FD" w:rsidTr="00AC025C"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B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C</w:t>
            </w:r>
          </w:p>
        </w:tc>
      </w:tr>
      <w:tr w:rsidR="00E4020A" w:rsidRPr="009509FD" w:rsidTr="00AC025C"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3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  <w:t>Ellátási forma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68"/>
              <w:jc w:val="center"/>
              <w:textAlignment w:val="baseline"/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  <w:t>Térítési díj a Gyvt. 147. §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92"/>
              <w:jc w:val="center"/>
              <w:textAlignment w:val="baseline"/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  <w:t>(1) bekezdése alapján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68"/>
              <w:jc w:val="center"/>
              <w:textAlignment w:val="baseline"/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  <w:t>Térítési díj a Gyvt. 147. §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ind w:left="713" w:right="5" w:hanging="792"/>
              <w:jc w:val="center"/>
              <w:textAlignment w:val="baseline"/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b/>
                <w:bCs/>
                <w:iCs/>
                <w:kern w:val="3"/>
                <w:lang w:eastAsia="zh-CN" w:bidi="hi-IN"/>
              </w:rPr>
              <w:t>(4) bekezdése alapján</w:t>
            </w:r>
          </w:p>
        </w:tc>
      </w:tr>
      <w:tr w:rsidR="00E4020A" w:rsidRPr="009509FD" w:rsidTr="00AC025C"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2</w:t>
            </w:r>
          </w:p>
        </w:tc>
        <w:tc>
          <w:tcPr>
            <w:tcW w:w="3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both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Átmeneti gondozás gyermekek átmeneti otthonában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9.822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294.645 Ft/hó/fő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650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19.500 Ft/hó/fő</w:t>
            </w:r>
          </w:p>
        </w:tc>
      </w:tr>
      <w:tr w:rsidR="00E4020A" w:rsidRPr="009509FD" w:rsidTr="00AC025C"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3</w:t>
            </w:r>
          </w:p>
        </w:tc>
        <w:tc>
          <w:tcPr>
            <w:tcW w:w="3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both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Átmeneti gondozás családok átmeneti otthonában (Debrecen, Mester utca</w:t>
            </w:r>
            <w:r>
              <w:rPr>
                <w:rFonts w:eastAsia="SimSun" w:cs="Mangal"/>
                <w:iCs/>
                <w:kern w:val="3"/>
                <w:lang w:eastAsia="zh-CN" w:bidi="hi-IN"/>
              </w:rPr>
              <w:t xml:space="preserve"> 30.</w:t>
            </w: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2.821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84.642 Ft/hó/fő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650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19.500 Ft/hó/fő</w:t>
            </w:r>
          </w:p>
        </w:tc>
      </w:tr>
      <w:tr w:rsidR="00E4020A" w:rsidRPr="009509FD" w:rsidTr="00AC025C"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4</w:t>
            </w:r>
          </w:p>
        </w:tc>
        <w:tc>
          <w:tcPr>
            <w:tcW w:w="3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both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Átmeneti gondozás családok átmeneti otthonában (Debrecen, Böszörményi út 68.)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2.359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70.758 Ft/hó/fő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650 Ft/nap/fő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snapToGrid w:val="0"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  <w:r w:rsidRPr="009509FD">
              <w:rPr>
                <w:rFonts w:eastAsia="SimSun" w:cs="Mangal"/>
                <w:iCs/>
                <w:kern w:val="3"/>
                <w:lang w:eastAsia="zh-CN" w:bidi="hi-IN"/>
              </w:rPr>
              <w:t>19.500 Ft/hó/fő”</w:t>
            </w:r>
          </w:p>
          <w:p w:rsidR="00E4020A" w:rsidRPr="009509FD" w:rsidRDefault="00E4020A" w:rsidP="00AC025C">
            <w:pPr>
              <w:suppressLineNumbers/>
              <w:suppressAutoHyphens/>
              <w:autoSpaceDE/>
              <w:adjustRightInd/>
              <w:jc w:val="center"/>
              <w:textAlignment w:val="baseline"/>
              <w:rPr>
                <w:rFonts w:eastAsia="SimSun" w:cs="Mangal"/>
                <w:iCs/>
                <w:kern w:val="3"/>
                <w:lang w:eastAsia="zh-CN" w:bidi="hi-IN"/>
              </w:rPr>
            </w:pPr>
          </w:p>
        </w:tc>
      </w:tr>
    </w:tbl>
    <w:p w:rsidR="008F27B1" w:rsidRDefault="008F27B1">
      <w:bookmarkStart w:id="0" w:name="_GoBack"/>
      <w:bookmarkEnd w:id="0"/>
    </w:p>
    <w:sectPr w:rsidR="008F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0A"/>
    <w:rsid w:val="008F27B1"/>
    <w:rsid w:val="00E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771A6-B11F-4692-9F07-D4BDFB51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2018-04-04T07:42:00Z</dcterms:created>
  <dcterms:modified xsi:type="dcterms:W3CDTF">2018-04-04T07:42:00Z</dcterms:modified>
</cp:coreProperties>
</file>