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68" w:rsidRPr="003D4968" w:rsidRDefault="003D4968" w:rsidP="003D4968">
      <w:pPr>
        <w:keepNext/>
        <w:jc w:val="center"/>
        <w:outlineLvl w:val="0"/>
        <w:rPr>
          <w:rFonts w:eastAsia="Times New Roman"/>
          <w:b/>
        </w:rPr>
      </w:pPr>
      <w:r w:rsidRPr="003D4968">
        <w:rPr>
          <w:rFonts w:eastAsia="Times New Roman"/>
          <w:b/>
        </w:rPr>
        <w:t>Kismarja Községi Önkormányzat Képviselő-testületének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 xml:space="preserve">6/2016.(II. 29.) számú rendelete </w:t>
      </w:r>
      <w:proofErr w:type="gramStart"/>
      <w:r w:rsidRPr="003D4968">
        <w:rPr>
          <w:rFonts w:eastAsia="Times New Roman"/>
          <w:b/>
          <w:szCs w:val="20"/>
        </w:rPr>
        <w:t>a</w:t>
      </w:r>
      <w:proofErr w:type="gramEnd"/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proofErr w:type="gramStart"/>
      <w:r w:rsidRPr="003D4968">
        <w:rPr>
          <w:rFonts w:eastAsia="Times New Roman"/>
          <w:b/>
          <w:szCs w:val="20"/>
        </w:rPr>
        <w:t>az</w:t>
      </w:r>
      <w:proofErr w:type="gramEnd"/>
      <w:r w:rsidRPr="003D4968">
        <w:rPr>
          <w:rFonts w:eastAsia="Times New Roman"/>
          <w:b/>
          <w:szCs w:val="20"/>
        </w:rPr>
        <w:t xml:space="preserve"> önkormányzat 2016. évi költségvetéséről szóló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2/2016 (II.23.) számú rendelete módosításáról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képviselő-testülete az államháztartásról szóló 2011. évi CXCV. törvény </w:t>
      </w:r>
      <w:r w:rsidRPr="003D4968">
        <w:rPr>
          <w:rFonts w:eastAsia="Times New Roman"/>
        </w:rPr>
        <w:t xml:space="preserve"> 23. § (1) bekezdésében </w:t>
      </w:r>
      <w:r w:rsidRPr="003D4968">
        <w:rPr>
          <w:rFonts w:eastAsia="Times New Roman"/>
          <w:szCs w:val="20"/>
        </w:rPr>
        <w:t>kapott felhatalmazás alapján a 2016. évi költségvetéséről az alábbi rendeletet alkotja.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 rendelet hatálya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rendelet hatálya a képviselő-testületre és az önkormányzat irányítása alá tartozó költségvetési szervére (intézményére) terjed ki.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2. § A költségvetés bevételei és kiadásai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3"/>
        </w:numPr>
        <w:tabs>
          <w:tab w:val="left" w:pos="399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képviselő-testület az önkormányzat 2016. évi költségvetését:</w:t>
      </w:r>
    </w:p>
    <w:p w:rsidR="003D4968" w:rsidRPr="003D4968" w:rsidRDefault="003D4968" w:rsidP="003D4968">
      <w:pPr>
        <w:tabs>
          <w:tab w:val="left" w:pos="399"/>
        </w:tabs>
        <w:overflowPunct w:val="0"/>
        <w:autoSpaceDE w:val="0"/>
        <w:autoSpaceDN w:val="0"/>
        <w:adjustRightInd w:val="0"/>
        <w:ind w:left="765"/>
        <w:jc w:val="both"/>
        <w:textAlignment w:val="baseline"/>
        <w:rPr>
          <w:rFonts w:eastAsia="Times New Roman"/>
          <w:szCs w:val="20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3D4968" w:rsidRPr="003D4968" w:rsidTr="002B5528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422 255 333 Ft</w:t>
            </w:r>
          </w:p>
        </w:tc>
        <w:tc>
          <w:tcPr>
            <w:tcW w:w="280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Költségvetési bevétellel</w:t>
            </w:r>
          </w:p>
        </w:tc>
      </w:tr>
      <w:tr w:rsidR="003D4968" w:rsidRPr="003D4968" w:rsidTr="002B5528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422 255 333 Ft</w:t>
            </w:r>
          </w:p>
        </w:tc>
        <w:tc>
          <w:tcPr>
            <w:tcW w:w="280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Költségvetési kiadással</w:t>
            </w:r>
          </w:p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</w:p>
        </w:tc>
      </w:tr>
      <w:tr w:rsidR="003D4968" w:rsidRPr="003D4968" w:rsidTr="002B5528">
        <w:tblPrEx>
          <w:tblCellMar>
            <w:top w:w="0" w:type="dxa"/>
            <w:bottom w:w="0" w:type="dxa"/>
          </w:tblCellMar>
        </w:tblPrEx>
        <w:tc>
          <w:tcPr>
            <w:tcW w:w="262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358 065 333 Ft</w:t>
            </w:r>
          </w:p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64 190 000 Ft</w:t>
            </w:r>
          </w:p>
        </w:tc>
        <w:tc>
          <w:tcPr>
            <w:tcW w:w="2804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proofErr w:type="gramStart"/>
            <w:r w:rsidRPr="003D4968">
              <w:rPr>
                <w:rFonts w:eastAsia="Times New Roman"/>
                <w:b/>
                <w:szCs w:val="20"/>
              </w:rPr>
              <w:t>ebből  működési</w:t>
            </w:r>
            <w:proofErr w:type="gramEnd"/>
          </w:p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3D4968">
              <w:rPr>
                <w:rFonts w:eastAsia="Times New Roman"/>
                <w:b/>
                <w:szCs w:val="20"/>
              </w:rPr>
              <w:t>felhalmozási</w:t>
            </w:r>
          </w:p>
        </w:tc>
      </w:tr>
    </w:tbl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56"/>
        <w:jc w:val="both"/>
        <w:textAlignment w:val="baseline"/>
        <w:rPr>
          <w:rFonts w:eastAsia="Times New Roman"/>
          <w:szCs w:val="20"/>
        </w:rPr>
      </w:pPr>
      <w:proofErr w:type="gramStart"/>
      <w:r w:rsidRPr="003D4968">
        <w:rPr>
          <w:rFonts w:eastAsia="Times New Roman"/>
          <w:szCs w:val="20"/>
        </w:rPr>
        <w:t>állapítja</w:t>
      </w:r>
      <w:proofErr w:type="gramEnd"/>
      <w:r w:rsidRPr="003D4968">
        <w:rPr>
          <w:rFonts w:eastAsia="Times New Roman"/>
          <w:szCs w:val="20"/>
        </w:rPr>
        <w:t xml:space="preserve"> meg.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56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(2)</w:t>
      </w:r>
      <w:r w:rsidRPr="003D4968">
        <w:rPr>
          <w:rFonts w:eastAsia="Times New Roman"/>
          <w:szCs w:val="20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3D4968">
        <w:rPr>
          <w:rFonts w:eastAsia="Times New Roman"/>
          <w:i/>
          <w:szCs w:val="20"/>
        </w:rPr>
        <w:t>1.1. melléklete</w:t>
      </w:r>
      <w:r w:rsidRPr="003D4968">
        <w:rPr>
          <w:rFonts w:eastAsia="Times New Roman"/>
          <w:szCs w:val="20"/>
        </w:rPr>
        <w:t xml:space="preserve"> alapján határozza meg a képviselő-testület.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(3) A bevételek és kiadások előirányzat-csoportok, kiemelt előirányzatok és azon belül kötelező feladatok, önként vállalt feladatok, állami (államigazgatási) feladatok szerinti bontásban az </w:t>
      </w:r>
      <w:r w:rsidRPr="003D4968">
        <w:rPr>
          <w:rFonts w:eastAsia="Times New Roman"/>
          <w:i/>
          <w:szCs w:val="20"/>
        </w:rPr>
        <w:t>1.2</w:t>
      </w:r>
      <w:proofErr w:type="gramStart"/>
      <w:r w:rsidRPr="003D4968">
        <w:rPr>
          <w:rFonts w:eastAsia="Times New Roman"/>
          <w:i/>
          <w:szCs w:val="20"/>
        </w:rPr>
        <w:t>.,</w:t>
      </w:r>
      <w:proofErr w:type="gramEnd"/>
      <w:r w:rsidRPr="003D4968">
        <w:rPr>
          <w:rFonts w:eastAsia="Times New Roman"/>
          <w:i/>
          <w:szCs w:val="20"/>
        </w:rPr>
        <w:t xml:space="preserve"> 1.3. </w:t>
      </w:r>
      <w:r w:rsidRPr="003D4968">
        <w:rPr>
          <w:rFonts w:eastAsia="Times New Roman"/>
          <w:szCs w:val="20"/>
        </w:rPr>
        <w:t xml:space="preserve"> </w:t>
      </w:r>
      <w:r w:rsidRPr="003D4968">
        <w:rPr>
          <w:rFonts w:eastAsia="Times New Roman"/>
          <w:i/>
          <w:szCs w:val="20"/>
        </w:rPr>
        <w:t>mellékletek</w:t>
      </w:r>
      <w:r w:rsidRPr="003D4968">
        <w:rPr>
          <w:rFonts w:eastAsia="Times New Roman"/>
          <w:szCs w:val="20"/>
        </w:rPr>
        <w:t xml:space="preserve"> szerint állapítja meg.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(4)</w:t>
      </w:r>
      <w:r w:rsidRPr="003D4968">
        <w:rPr>
          <w:rFonts w:eastAsia="Times New Roman"/>
          <w:szCs w:val="20"/>
        </w:rPr>
        <w:tab/>
        <w:t xml:space="preserve">A működési és felhalmozási bevételek és kiadások előirányzatai mérlegszerű bemutatását önkormányzati szinten a </w:t>
      </w:r>
      <w:r w:rsidRPr="003D4968">
        <w:rPr>
          <w:rFonts w:eastAsia="Times New Roman"/>
          <w:i/>
          <w:szCs w:val="20"/>
        </w:rPr>
        <w:t>2.1. és a 2.2. melléklet</w:t>
      </w:r>
      <w:r w:rsidRPr="003D4968">
        <w:rPr>
          <w:rFonts w:eastAsia="Times New Roman"/>
          <w:szCs w:val="20"/>
        </w:rPr>
        <w:t xml:space="preserve"> részletezi.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56" w:hanging="456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 (5)</w:t>
      </w:r>
      <w:r w:rsidRPr="003D4968">
        <w:rPr>
          <w:rFonts w:eastAsia="Times New Roman"/>
          <w:szCs w:val="20"/>
        </w:rPr>
        <w:tab/>
        <w:t>A működési hiány belső finanszírozásának érdekében a képviselő-testület az előző év költségvetési maradványának igénybevételét rendeli el.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56" w:hanging="456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 költségvetés részletezése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Képviselő-testület az önkormányzat 2016. évi költségvetését részletesen a következők szerint állapítja meg: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adósságot keletkeztető ügyletekből és kezességvállalásokból fennálló kötelezettségeit a </w:t>
      </w:r>
      <w:r w:rsidRPr="003D4968">
        <w:rPr>
          <w:rFonts w:eastAsia="Times New Roman"/>
          <w:i/>
          <w:szCs w:val="20"/>
        </w:rPr>
        <w:t>3.</w:t>
      </w:r>
      <w:r w:rsidRPr="003D4968">
        <w:rPr>
          <w:rFonts w:eastAsia="Times New Roman"/>
          <w:szCs w:val="20"/>
        </w:rPr>
        <w:t xml:space="preserve"> </w:t>
      </w:r>
      <w:r w:rsidRPr="003D4968">
        <w:rPr>
          <w:rFonts w:eastAsia="Times New Roman"/>
          <w:i/>
          <w:szCs w:val="20"/>
        </w:rPr>
        <w:t xml:space="preserve">melléklet </w:t>
      </w:r>
      <w:r w:rsidRPr="003D4968">
        <w:rPr>
          <w:rFonts w:eastAsia="Times New Roman"/>
          <w:szCs w:val="20"/>
        </w:rPr>
        <w:t>részletezi.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saját bevételeinek részletezését az adósságot keletkeztető ügyletből származó tárgyévi fizetési kötelezettség megállapításához a </w:t>
      </w:r>
      <w:r w:rsidRPr="003D4968">
        <w:rPr>
          <w:rFonts w:eastAsia="Times New Roman"/>
          <w:i/>
          <w:szCs w:val="20"/>
        </w:rPr>
        <w:t>4. melléklet</w:t>
      </w:r>
      <w:r w:rsidRPr="003D4968">
        <w:rPr>
          <w:rFonts w:eastAsia="Times New Roman"/>
          <w:szCs w:val="20"/>
        </w:rPr>
        <w:t xml:space="preserve"> tartalmazza.     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költségvetésében szereplő beruházások kiadásainak beruházásonkénti részletezését a </w:t>
      </w:r>
      <w:r w:rsidRPr="003D4968">
        <w:rPr>
          <w:rFonts w:eastAsia="Times New Roman"/>
          <w:i/>
          <w:szCs w:val="20"/>
        </w:rPr>
        <w:t>6. melléklet</w:t>
      </w:r>
      <w:r w:rsidRPr="003D4968">
        <w:rPr>
          <w:rFonts w:eastAsia="Times New Roman"/>
          <w:szCs w:val="20"/>
        </w:rPr>
        <w:t xml:space="preserve"> szerint határozza meg.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költségvetésében szereplő felújítások kiadásait felújításonként a </w:t>
      </w:r>
      <w:r w:rsidRPr="003D4968">
        <w:rPr>
          <w:rFonts w:eastAsia="Times New Roman"/>
          <w:i/>
          <w:szCs w:val="20"/>
        </w:rPr>
        <w:t>7.</w:t>
      </w:r>
      <w:r w:rsidRPr="003D4968">
        <w:rPr>
          <w:rFonts w:eastAsia="Times New Roman"/>
          <w:szCs w:val="20"/>
        </w:rPr>
        <w:t xml:space="preserve"> </w:t>
      </w:r>
      <w:r w:rsidRPr="003D4968">
        <w:rPr>
          <w:rFonts w:eastAsia="Times New Roman"/>
          <w:i/>
          <w:szCs w:val="20"/>
        </w:rPr>
        <w:t xml:space="preserve">melléklet </w:t>
      </w:r>
      <w:r w:rsidRPr="003D4968">
        <w:rPr>
          <w:rFonts w:eastAsia="Times New Roman"/>
          <w:szCs w:val="20"/>
        </w:rPr>
        <w:t>szerint részletezi.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5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2. § (1) bekezdésében megállapított bevételek és kiadások önkormányzati</w:t>
      </w:r>
      <w:proofErr w:type="gramStart"/>
      <w:r w:rsidRPr="003D4968">
        <w:rPr>
          <w:rFonts w:eastAsia="Times New Roman"/>
          <w:szCs w:val="20"/>
        </w:rPr>
        <w:t>,  költségvetési</w:t>
      </w:r>
      <w:proofErr w:type="gramEnd"/>
      <w:r w:rsidRPr="003D4968">
        <w:rPr>
          <w:rFonts w:eastAsia="Times New Roman"/>
          <w:szCs w:val="20"/>
        </w:rPr>
        <w:t xml:space="preserve"> szervenkénti megoszlását, és az éves (engedélyezett) létszám előirányzatot és a közfoglalkoztatottak létszámát költségvetési szervenként, feladatonként a </w:t>
      </w:r>
      <w:r w:rsidRPr="003D4968">
        <w:rPr>
          <w:rFonts w:eastAsia="Times New Roman"/>
          <w:i/>
          <w:szCs w:val="20"/>
        </w:rPr>
        <w:t xml:space="preserve">9.1 és 9.3.  mellékletek </w:t>
      </w:r>
      <w:r w:rsidRPr="003D4968">
        <w:rPr>
          <w:rFonts w:eastAsia="Times New Roman"/>
          <w:szCs w:val="20"/>
        </w:rPr>
        <w:t>szerint határozza meg.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 költségvetés végrehajtásának szabályai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108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6"/>
        </w:numPr>
        <w:tabs>
          <w:tab w:val="left" w:pos="45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Az önkormányzati szintű költségvetés végrehajtásáért a polgármester, a könyvvezetéssel kapcsolatos feladatok ellátásáért a jegyző a felelős.</w:t>
      </w:r>
    </w:p>
    <w:p w:rsidR="003D4968" w:rsidRPr="003D4968" w:rsidRDefault="003D4968" w:rsidP="003D4968">
      <w:pPr>
        <w:tabs>
          <w:tab w:val="left" w:pos="456"/>
        </w:tabs>
        <w:overflowPunct w:val="0"/>
        <w:autoSpaceDE w:val="0"/>
        <w:autoSpaceDN w:val="0"/>
        <w:adjustRightInd w:val="0"/>
        <w:ind w:left="42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Az Önkormányzat gazdálkodásának biztonságáért a képviselő-testület, a gazdálkodás szabályszerűségéért a polgármester felelős.</w:t>
      </w:r>
    </w:p>
    <w:p w:rsidR="003D4968" w:rsidRPr="003D4968" w:rsidRDefault="003D4968" w:rsidP="003D4968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Kiegészítő támogatás igényléséről a működőképességet veszélyeztető helyzet esetében a polgármester gondoskodik, külön képviselő-testületi döntés alapján.</w:t>
      </w:r>
    </w:p>
    <w:p w:rsidR="003D4968" w:rsidRPr="003D4968" w:rsidRDefault="003D4968" w:rsidP="003D4968">
      <w:pPr>
        <w:autoSpaceDE w:val="0"/>
        <w:autoSpaceDN w:val="0"/>
        <w:adjustRightInd w:val="0"/>
        <w:jc w:val="both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finanszírozási bevételekkel és kiadásokkal kapcsolatos hatásköröket a Képviselő-testület gyakorolja.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Az előirányzatok módosítása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108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Az Önkormányzat bevételeinek és kiadásainak módosításáról, a kiadási előirányzatok közötti átcsoportosításról a képviselő-testület dönt. 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 képviselő-testület a jóváhagyott kiadási előirányzatok közötti átcsoportosítás jogát minden esetben fenntartja magának. 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 költségvetési szerv a költségvetése kiemelt előirányzatai és a kiemelt előirányzaton belüli rovatok között átcsoportosítást hajthat végre. 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 xml:space="preserve">A képviselő-testület a költségvetési rendelet 5. § (2) és (5) bekezdés szerinti előirányzat-módosítás, előirányzat-átcsoportosítás átvezetéseként, de legkésőbb az éves költségvetési beszámoló elkészítésének határidejéig, december 31-ei hatállyal módosítja a költségvetési rendeletét. 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0"/>
          <w:szCs w:val="20"/>
        </w:rPr>
      </w:pPr>
      <w:r w:rsidRPr="003D4968">
        <w:rPr>
          <w:rFonts w:eastAsia="Times New Roman"/>
          <w:szCs w:val="20"/>
        </w:rPr>
        <w:t>Amennyiben az önkormányzat év közben a költségvetési rendelet készítésekor nem ismert többletbevételhez jut, vagy bevételei a tervezettől elmaradnak, arról a polgármester a képviselő-testületet tájékoztatja.</w:t>
      </w:r>
      <w:r w:rsidRPr="003D4968">
        <w:rPr>
          <w:rFonts w:eastAsia="Times New Roman"/>
          <w:sz w:val="20"/>
          <w:szCs w:val="20"/>
        </w:rPr>
        <w:t xml:space="preserve"> </w:t>
      </w:r>
    </w:p>
    <w:p w:rsidR="003D4968" w:rsidRPr="003D4968" w:rsidRDefault="003D4968" w:rsidP="003D4968">
      <w:pPr>
        <w:ind w:left="708"/>
        <w:rPr>
          <w:rFonts w:eastAsia="Times New Roman"/>
          <w:sz w:val="20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0"/>
          <w:szCs w:val="20"/>
        </w:rPr>
      </w:pPr>
    </w:p>
    <w:p w:rsidR="003D4968" w:rsidRPr="003D4968" w:rsidRDefault="003D4968" w:rsidP="003D4968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lastRenderedPageBreak/>
        <w:t xml:space="preserve">A képviselő-testület által jóváhagyott kiemelt előirányzatokat </w:t>
      </w:r>
      <w:proofErr w:type="gramStart"/>
      <w:r w:rsidRPr="003D4968">
        <w:rPr>
          <w:rFonts w:eastAsia="Times New Roman"/>
          <w:szCs w:val="20"/>
        </w:rPr>
        <w:t>költségvetési  szerve</w:t>
      </w:r>
      <w:proofErr w:type="gramEnd"/>
      <w:r w:rsidRPr="003D4968">
        <w:rPr>
          <w:rFonts w:eastAsia="Times New Roman"/>
          <w:szCs w:val="20"/>
        </w:rPr>
        <w:t xml:space="preserve"> köteles betartani. </w:t>
      </w:r>
    </w:p>
    <w:p w:rsidR="003D4968" w:rsidRPr="003D4968" w:rsidRDefault="003D4968" w:rsidP="003D496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 gazdálkodás szabályai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108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költségvetési szerv rendeletben meghatározott bevételi és kiadási előirányzatai felett az intézmény vezetője előirányzat-felhasználási jogkörrel rendelkezik.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költségvetési szerv az alapfeladatai ellátását szolgáló személyi juttatásokkal és az azokhoz kapcsolódó járulékok és egyéb közterhek előirányzataival minden esetben rendelkezik.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 költségvetési szerv az évközi előirányzat-módosításokról a jegyző által elrendelt formában köteles naprakész nyilvántartást vezetni.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§ A költségvetés végrehajtásának ellenőrzése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1080"/>
        <w:textAlignment w:val="baseline"/>
        <w:rPr>
          <w:rFonts w:eastAsia="Times New Roman"/>
          <w:b/>
          <w:szCs w:val="20"/>
        </w:rPr>
      </w:pPr>
    </w:p>
    <w:p w:rsidR="003D4968" w:rsidRPr="003D4968" w:rsidRDefault="003D4968" w:rsidP="003D4968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Az Önkormányzat a belső ellenőrzés kialakításáról gondoskodik. A megfelelő működtetésről és a függetlenség biztosításáról a jegyző köteles gondoskodni.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/>
          <w:b/>
          <w:szCs w:val="20"/>
        </w:rPr>
      </w:pPr>
      <w:r w:rsidRPr="003D4968">
        <w:rPr>
          <w:rFonts w:eastAsia="Times New Roman"/>
          <w:b/>
          <w:szCs w:val="20"/>
        </w:rPr>
        <w:t>8. § Záró és vegyes rendelkezések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0"/>
        </w:rPr>
      </w:pPr>
    </w:p>
    <w:p w:rsidR="003D4968" w:rsidRPr="003D4968" w:rsidRDefault="003D4968" w:rsidP="003D4968">
      <w:pPr>
        <w:spacing w:before="120"/>
        <w:ind w:left="426" w:hanging="426"/>
        <w:jc w:val="both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(1)</w:t>
      </w:r>
      <w:r w:rsidRPr="003D4968">
        <w:rPr>
          <w:rFonts w:eastAsia="Times New Roman"/>
          <w:szCs w:val="20"/>
        </w:rPr>
        <w:tab/>
        <w:t>Ez a rendelet 2016. 03. 01. napján lép hatályba, de rendelkezéseit visszamenőlegesen 2016. január 01-től kell alkalmazni.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3D4968">
        <w:rPr>
          <w:rFonts w:eastAsia="Times New Roman"/>
          <w:szCs w:val="20"/>
        </w:rPr>
        <w:t>(2)</w:t>
      </w:r>
      <w:r w:rsidRPr="003D4968">
        <w:rPr>
          <w:rFonts w:eastAsia="Times New Roman"/>
          <w:szCs w:val="20"/>
        </w:rPr>
        <w:tab/>
        <w:t>A rendelet kihirdetve: 2016. február 29-én.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</w:p>
    <w:p w:rsidR="003D4968" w:rsidRPr="003D4968" w:rsidRDefault="003D4968" w:rsidP="003D4968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275590</wp:posOffset>
            </wp:positionV>
            <wp:extent cx="1779270" cy="728980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1397" distL="114300" distR="114554" simplePos="0" relativeHeight="251660288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104140</wp:posOffset>
            </wp:positionV>
            <wp:extent cx="2401316" cy="803148"/>
            <wp:effectExtent l="0" t="0" r="0" b="0"/>
            <wp:wrapNone/>
            <wp:docPr id="3" name="Kép 3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968">
        <w:rPr>
          <w:rFonts w:eastAsia="Times New Roman"/>
          <w:szCs w:val="20"/>
        </w:rPr>
        <w:t>(2)</w:t>
      </w:r>
      <w:r w:rsidRPr="003D4968">
        <w:rPr>
          <w:rFonts w:eastAsia="Times New Roman"/>
          <w:szCs w:val="20"/>
        </w:rPr>
        <w:tab/>
        <w:t>A rendelet hatálybalépésével egyidejűleg hatályát veszíti a 2/2016.(II. 23.) ÖR. számú rendelet.</w:t>
      </w:r>
    </w:p>
    <w:p w:rsidR="003D4968" w:rsidRPr="003D4968" w:rsidRDefault="003D4968" w:rsidP="003D4968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3D4968" w:rsidRPr="003D4968" w:rsidTr="002B552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2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 w:rsidRPr="003D4968">
              <w:rPr>
                <w:rFonts w:eastAsia="Times New Roman"/>
              </w:rPr>
              <w:t xml:space="preserve">                   Farkas István Attila </w:t>
            </w:r>
          </w:p>
        </w:tc>
        <w:tc>
          <w:tcPr>
            <w:tcW w:w="4580" w:type="dxa"/>
          </w:tcPr>
          <w:p w:rsidR="003D4968" w:rsidRPr="003D4968" w:rsidRDefault="003D4968" w:rsidP="003D49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3D4968">
              <w:rPr>
                <w:rFonts w:eastAsia="Times New Roman"/>
              </w:rPr>
              <w:t>Fekéné</w:t>
            </w:r>
            <w:proofErr w:type="spellEnd"/>
            <w:r w:rsidRPr="003D4968">
              <w:rPr>
                <w:rFonts w:eastAsia="Times New Roman"/>
              </w:rPr>
              <w:t xml:space="preserve"> </w:t>
            </w:r>
            <w:proofErr w:type="spellStart"/>
            <w:r w:rsidRPr="003D4968">
              <w:rPr>
                <w:rFonts w:eastAsia="Times New Roman"/>
              </w:rPr>
              <w:t>Tarcsi</w:t>
            </w:r>
            <w:proofErr w:type="spellEnd"/>
            <w:r w:rsidRPr="003D4968">
              <w:rPr>
                <w:rFonts w:eastAsia="Times New Roman"/>
              </w:rPr>
              <w:t xml:space="preserve"> Csilla </w:t>
            </w:r>
          </w:p>
        </w:tc>
      </w:tr>
    </w:tbl>
    <w:p w:rsidR="003D4968" w:rsidRPr="003D4968" w:rsidRDefault="003D4968" w:rsidP="003D496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</w:rPr>
        <w:sectPr w:rsidR="003D4968" w:rsidRPr="003D4968" w:rsidSect="006E7F93">
          <w:footerReference w:type="even" r:id="rId8"/>
          <w:footerReference w:type="default" r:id="rId9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20"/>
          <w:docGrid w:linePitch="381"/>
        </w:sect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74F2A9B2" wp14:editId="1C650727">
            <wp:simplePos x="0" y="0"/>
            <wp:positionH relativeFrom="column">
              <wp:posOffset>2357755</wp:posOffset>
            </wp:positionH>
            <wp:positionV relativeFrom="paragraph">
              <wp:posOffset>43815</wp:posOffset>
            </wp:positionV>
            <wp:extent cx="1132840" cy="1095375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968">
        <w:rPr>
          <w:rFonts w:eastAsia="Times New Roman"/>
        </w:rPr>
        <w:t xml:space="preserve">                         </w:t>
      </w:r>
      <w:proofErr w:type="gramStart"/>
      <w:r w:rsidRPr="003D4968">
        <w:rPr>
          <w:rFonts w:eastAsia="Times New Roman"/>
        </w:rPr>
        <w:t>polgármester</w:t>
      </w:r>
      <w:proofErr w:type="gramEnd"/>
      <w:r w:rsidRPr="003D4968">
        <w:rPr>
          <w:rFonts w:eastAsia="Times New Roman"/>
        </w:rPr>
        <w:tab/>
      </w:r>
      <w:r w:rsidRPr="003D4968">
        <w:rPr>
          <w:rFonts w:eastAsia="Times New Roman"/>
          <w:sz w:val="22"/>
          <w:szCs w:val="22"/>
        </w:rPr>
        <w:tab/>
      </w:r>
      <w:r w:rsidRPr="003D4968">
        <w:rPr>
          <w:rFonts w:eastAsia="Times New Roman"/>
          <w:sz w:val="22"/>
          <w:szCs w:val="22"/>
        </w:rPr>
        <w:tab/>
      </w:r>
      <w:r w:rsidRPr="003D4968">
        <w:rPr>
          <w:rFonts w:eastAsia="Times New Roman"/>
          <w:sz w:val="22"/>
          <w:szCs w:val="22"/>
        </w:rPr>
        <w:tab/>
      </w:r>
      <w:r w:rsidRPr="003D4968">
        <w:rPr>
          <w:rFonts w:eastAsia="Times New Roman"/>
          <w:sz w:val="22"/>
          <w:szCs w:val="22"/>
        </w:rPr>
        <w:tab/>
      </w:r>
      <w:r w:rsidRPr="003D4968">
        <w:rPr>
          <w:rFonts w:eastAsia="Times New Roman"/>
        </w:rPr>
        <w:t xml:space="preserve">        </w:t>
      </w:r>
      <w:r>
        <w:rPr>
          <w:rFonts w:eastAsia="Times New Roman"/>
        </w:rPr>
        <w:t xml:space="preserve">    jegyző</w:t>
      </w:r>
      <w:bookmarkStart w:id="0" w:name="_GoBack"/>
      <w:bookmarkEnd w:id="0"/>
    </w:p>
    <w:p w:rsidR="00852B22" w:rsidRDefault="00852B22" w:rsidP="003D4968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93" w:rsidRPr="00BF55B0" w:rsidRDefault="003D4968">
    <w:pPr>
      <w:pStyle w:val="llb"/>
    </w:pPr>
    <w:r w:rsidRPr="00BF55B0">
      <w:fldChar w:fldCharType="begin"/>
    </w:r>
    <w:r w:rsidRPr="00BF55B0">
      <w:instrText xml:space="preserve"> PAGE   \* MERGEFORMAT </w:instrText>
    </w:r>
    <w:r w:rsidRPr="00BF55B0">
      <w:fldChar w:fldCharType="separate"/>
    </w:r>
    <w:r>
      <w:rPr>
        <w:noProof/>
      </w:rPr>
      <w:t>2</w:t>
    </w:r>
    <w:r w:rsidRPr="00BF55B0">
      <w:fldChar w:fldCharType="end"/>
    </w:r>
  </w:p>
  <w:p w:rsidR="006E7F93" w:rsidRDefault="003D49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93" w:rsidRPr="00BF55B0" w:rsidRDefault="003D4968">
    <w:pPr>
      <w:pStyle w:val="llb"/>
      <w:jc w:val="right"/>
    </w:pPr>
  </w:p>
  <w:p w:rsidR="006E7F93" w:rsidRDefault="003D4968" w:rsidP="006E7F93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52D6"/>
    <w:multiLevelType w:val="hybridMultilevel"/>
    <w:tmpl w:val="D818B938"/>
    <w:lvl w:ilvl="0" w:tplc="7FCE7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42925"/>
    <w:multiLevelType w:val="hybridMultilevel"/>
    <w:tmpl w:val="230838E0"/>
    <w:lvl w:ilvl="0" w:tplc="CA6880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E690D"/>
    <w:multiLevelType w:val="hybridMultilevel"/>
    <w:tmpl w:val="956AA85C"/>
    <w:lvl w:ilvl="0" w:tplc="19EA71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713CC"/>
    <w:multiLevelType w:val="hybridMultilevel"/>
    <w:tmpl w:val="7462479A"/>
    <w:lvl w:ilvl="0" w:tplc="0D26D9D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6C34472"/>
    <w:multiLevelType w:val="hybridMultilevel"/>
    <w:tmpl w:val="5CB03B98"/>
    <w:lvl w:ilvl="0" w:tplc="5A74B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17B36"/>
    <w:multiLevelType w:val="hybridMultilevel"/>
    <w:tmpl w:val="A27CDD5A"/>
    <w:lvl w:ilvl="0" w:tplc="CDD283E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74A6B"/>
    <w:multiLevelType w:val="hybridMultilevel"/>
    <w:tmpl w:val="F81AACAC"/>
    <w:lvl w:ilvl="0" w:tplc="1EC4C90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95E6EFF"/>
    <w:multiLevelType w:val="hybridMultilevel"/>
    <w:tmpl w:val="6A22F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63012"/>
    <w:multiLevelType w:val="hybridMultilevel"/>
    <w:tmpl w:val="34E0F470"/>
    <w:lvl w:ilvl="0" w:tplc="CC686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5D"/>
    <w:rsid w:val="00030842"/>
    <w:rsid w:val="000A7A5D"/>
    <w:rsid w:val="003D4968"/>
    <w:rsid w:val="008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3D49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D4968"/>
    <w:rPr>
      <w:rFonts w:ascii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3D49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D4968"/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2016-06-22T06:42:00Z</dcterms:created>
  <dcterms:modified xsi:type="dcterms:W3CDTF">2016-06-22T06:44:00Z</dcterms:modified>
</cp:coreProperties>
</file>