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AEF" w:rsidRPr="00C65267" w:rsidRDefault="00D57AEF" w:rsidP="00D57AE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267">
        <w:rPr>
          <w:rFonts w:ascii="Times New Roman" w:hAnsi="Times New Roman"/>
          <w:b/>
          <w:sz w:val="24"/>
          <w:szCs w:val="24"/>
        </w:rPr>
        <w:t xml:space="preserve">1. melléklet az </w:t>
      </w:r>
      <w:r w:rsidR="00F45A17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Pr="00C65267">
        <w:rPr>
          <w:rFonts w:ascii="Times New Roman" w:hAnsi="Times New Roman"/>
          <w:b/>
          <w:sz w:val="24"/>
          <w:szCs w:val="24"/>
        </w:rPr>
        <w:t>/2017. (V.31.) önkormányzati rendelethez</w:t>
      </w:r>
    </w:p>
    <w:p w:rsidR="00D57AEF" w:rsidRDefault="00D57AEF" w:rsidP="00D57A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410"/>
        <w:gridCol w:w="1557"/>
        <w:gridCol w:w="1278"/>
        <w:gridCol w:w="1843"/>
        <w:gridCol w:w="1098"/>
      </w:tblGrid>
      <w:tr w:rsidR="00D57AEF" w:rsidRPr="00EF4BF6" w:rsidTr="00BE37FA">
        <w:trPr>
          <w:trHeight w:val="360"/>
        </w:trPr>
        <w:tc>
          <w:tcPr>
            <w:tcW w:w="2100" w:type="dxa"/>
            <w:vMerge w:val="restart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Dokumentum típusa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Eljárás fajtája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Előzetes tájékoztatás</w:t>
            </w:r>
          </w:p>
        </w:tc>
        <w:tc>
          <w:tcPr>
            <w:tcW w:w="2941" w:type="dxa"/>
            <w:gridSpan w:val="2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Véleményezés (munkaközi tájékoztatás)</w:t>
            </w:r>
          </w:p>
        </w:tc>
      </w:tr>
      <w:tr w:rsidR="00D57AEF" w:rsidRPr="00EF4BF6" w:rsidTr="00BE37FA">
        <w:trPr>
          <w:trHeight w:val="360"/>
        </w:trPr>
        <w:tc>
          <w:tcPr>
            <w:tcW w:w="2100" w:type="dxa"/>
            <w:vMerge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27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  <w:tc>
          <w:tcPr>
            <w:tcW w:w="1843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09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</w:tr>
      <w:tr w:rsidR="00D57AEF" w:rsidRPr="00EF4BF6" w:rsidTr="00BE37FA">
        <w:trPr>
          <w:trHeight w:val="966"/>
        </w:trPr>
        <w:tc>
          <w:tcPr>
            <w:tcW w:w="2100" w:type="dxa"/>
            <w:vMerge w:val="restart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Településfejlesztési koncepció</w:t>
            </w: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Integrált Településfejlesztési Stratégia</w:t>
            </w: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</w:t>
            </w: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15 nap</w:t>
            </w:r>
          </w:p>
        </w:tc>
      </w:tr>
      <w:tr w:rsidR="00D57AEF" w:rsidRPr="00EF4BF6" w:rsidTr="00BE37FA">
        <w:trPr>
          <w:trHeight w:val="966"/>
        </w:trPr>
        <w:tc>
          <w:tcPr>
            <w:tcW w:w="2100" w:type="dxa"/>
            <w:vMerge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módosítása</w:t>
            </w:r>
          </w:p>
        </w:tc>
        <w:tc>
          <w:tcPr>
            <w:tcW w:w="1557" w:type="dxa"/>
            <w:shd w:val="clear" w:color="auto" w:fill="auto"/>
          </w:tcPr>
          <w:p w:rsidR="00D57AEF" w:rsidRPr="00EF4BF6" w:rsidRDefault="00D57AEF" w:rsidP="00BE37FA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</w:tc>
        <w:tc>
          <w:tcPr>
            <w:tcW w:w="109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D57AEF" w:rsidRPr="00EF4BF6" w:rsidTr="00BE37FA">
        <w:trPr>
          <w:trHeight w:val="564"/>
        </w:trPr>
        <w:tc>
          <w:tcPr>
            <w:tcW w:w="2100" w:type="dxa"/>
            <w:vMerge w:val="restart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Településrendezési eszközök</w:t>
            </w: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Településszerkezeti Terv, HÉSZ és Szabályozási Terv</w:t>
            </w:r>
          </w:p>
        </w:tc>
        <w:tc>
          <w:tcPr>
            <w:tcW w:w="1410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teljes eljárás</w:t>
            </w:r>
          </w:p>
        </w:tc>
        <w:tc>
          <w:tcPr>
            <w:tcW w:w="1557" w:type="dxa"/>
            <w:shd w:val="clear" w:color="auto" w:fill="auto"/>
          </w:tcPr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D57AEF" w:rsidRPr="00EF4BF6" w:rsidTr="00BE37FA">
        <w:trPr>
          <w:trHeight w:val="564"/>
        </w:trPr>
        <w:tc>
          <w:tcPr>
            <w:tcW w:w="2100" w:type="dxa"/>
            <w:vMerge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egyszerűsített eljárás</w:t>
            </w:r>
          </w:p>
        </w:tc>
        <w:tc>
          <w:tcPr>
            <w:tcW w:w="1557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D57AEF" w:rsidRPr="00EF4BF6" w:rsidTr="00BE37FA">
        <w:trPr>
          <w:trHeight w:val="564"/>
        </w:trPr>
        <w:tc>
          <w:tcPr>
            <w:tcW w:w="2100" w:type="dxa"/>
            <w:vMerge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</w:t>
            </w:r>
          </w:p>
        </w:tc>
        <w:tc>
          <w:tcPr>
            <w:tcW w:w="1557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D57AEF" w:rsidRPr="00EF4BF6" w:rsidTr="00BE37FA">
        <w:trPr>
          <w:trHeight w:val="846"/>
        </w:trPr>
        <w:tc>
          <w:tcPr>
            <w:tcW w:w="2100" w:type="dxa"/>
            <w:vMerge w:val="restart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 kihirdetett vészhelyzet esetén</w:t>
            </w:r>
          </w:p>
        </w:tc>
        <w:tc>
          <w:tcPr>
            <w:tcW w:w="1557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D57AEF" w:rsidRPr="00EF4BF6" w:rsidTr="00BE37FA">
        <w:trPr>
          <w:trHeight w:val="846"/>
        </w:trPr>
        <w:tc>
          <w:tcPr>
            <w:tcW w:w="2100" w:type="dxa"/>
            <w:vMerge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 xml:space="preserve">állami </w:t>
            </w:r>
            <w:proofErr w:type="spellStart"/>
            <w:r w:rsidRPr="00EF4BF6">
              <w:rPr>
                <w:rFonts w:ascii="Times New Roman" w:hAnsi="Times New Roman"/>
                <w:sz w:val="24"/>
                <w:szCs w:val="24"/>
              </w:rPr>
              <w:t>főépítészi</w:t>
            </w:r>
            <w:proofErr w:type="spellEnd"/>
            <w:r w:rsidRPr="00EF4BF6">
              <w:rPr>
                <w:rFonts w:ascii="Times New Roman" w:hAnsi="Times New Roman"/>
                <w:sz w:val="24"/>
                <w:szCs w:val="24"/>
              </w:rPr>
              <w:t xml:space="preserve"> eljárás</w:t>
            </w:r>
          </w:p>
        </w:tc>
        <w:tc>
          <w:tcPr>
            <w:tcW w:w="1557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D57AEF" w:rsidRPr="00EF4BF6" w:rsidTr="00BE37FA">
        <w:trPr>
          <w:trHeight w:val="3103"/>
        </w:trPr>
        <w:tc>
          <w:tcPr>
            <w:tcW w:w="2100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Településképi Arculati Kézikönyv</w:t>
            </w:r>
          </w:p>
        </w:tc>
        <w:tc>
          <w:tcPr>
            <w:tcW w:w="1410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készítése, módosítása</w:t>
            </w:r>
          </w:p>
        </w:tc>
        <w:tc>
          <w:tcPr>
            <w:tcW w:w="1557" w:type="dxa"/>
            <w:shd w:val="clear" w:color="auto" w:fill="auto"/>
          </w:tcPr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D57AEF" w:rsidRPr="00EF4BF6" w:rsidRDefault="00D57AEF" w:rsidP="00BE37FA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D57AEF" w:rsidRPr="00EF4BF6" w:rsidRDefault="00D57AEF" w:rsidP="00BE37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</w:tbl>
    <w:p w:rsidR="00D57AEF" w:rsidRPr="00367AAF" w:rsidRDefault="00D57AEF" w:rsidP="00D57A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D57AEF" w:rsidRDefault="00D57AEF" w:rsidP="00D57AEF"/>
    <w:p w:rsidR="000F2243" w:rsidRDefault="00ED0AA9"/>
    <w:sectPr w:rsidR="000F2243" w:rsidSect="000942F0">
      <w:head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AA9" w:rsidRDefault="00ED0AA9">
      <w:pPr>
        <w:spacing w:after="0" w:line="240" w:lineRule="auto"/>
      </w:pPr>
      <w:r>
        <w:separator/>
      </w:r>
    </w:p>
  </w:endnote>
  <w:endnote w:type="continuationSeparator" w:id="0">
    <w:p w:rsidR="00ED0AA9" w:rsidRDefault="00ED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AA9" w:rsidRDefault="00ED0AA9">
      <w:pPr>
        <w:spacing w:after="0" w:line="240" w:lineRule="auto"/>
      </w:pPr>
      <w:r>
        <w:separator/>
      </w:r>
    </w:p>
  </w:footnote>
  <w:footnote w:type="continuationSeparator" w:id="0">
    <w:p w:rsidR="00ED0AA9" w:rsidRDefault="00ED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2F0" w:rsidRDefault="00D57AEF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5A17">
      <w:rPr>
        <w:noProof/>
      </w:rPr>
      <w:t>2</w:t>
    </w:r>
    <w:r>
      <w:fldChar w:fldCharType="end"/>
    </w:r>
  </w:p>
  <w:p w:rsidR="000942F0" w:rsidRDefault="00ED0AA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DE"/>
    <w:rsid w:val="00145455"/>
    <w:rsid w:val="003C33FE"/>
    <w:rsid w:val="005658DE"/>
    <w:rsid w:val="00613E16"/>
    <w:rsid w:val="00CA1B28"/>
    <w:rsid w:val="00D57AEF"/>
    <w:rsid w:val="00D80021"/>
    <w:rsid w:val="00ED0AA9"/>
    <w:rsid w:val="00F45A17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747A"/>
  <w15:chartTrackingRefBased/>
  <w15:docId w15:val="{4643202C-4C12-4AB2-9E80-5169F581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57AEF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57AEF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57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7AEF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2017-06-01T09:12:00Z</dcterms:created>
  <dcterms:modified xsi:type="dcterms:W3CDTF">2017-08-28T09:23:00Z</dcterms:modified>
</cp:coreProperties>
</file>