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FB0EBC" w14:textId="77777777" w:rsidR="00981DC7" w:rsidRPr="0036788C" w:rsidRDefault="00981DC7" w:rsidP="00981DC7">
      <w:pPr>
        <w:rPr>
          <w:b/>
          <w:bCs/>
          <w:i/>
          <w:iCs/>
          <w:sz w:val="24"/>
          <w:szCs w:val="24"/>
        </w:rPr>
      </w:pPr>
      <w:r w:rsidRPr="0036788C">
        <w:rPr>
          <w:b/>
          <w:bCs/>
          <w:iCs/>
          <w:sz w:val="24"/>
          <w:szCs w:val="24"/>
        </w:rPr>
        <w:t>Indokolás</w:t>
      </w:r>
    </w:p>
    <w:p w14:paraId="7470E164" w14:textId="77777777" w:rsidR="00981DC7" w:rsidRPr="0036788C" w:rsidRDefault="00981DC7" w:rsidP="00981DC7">
      <w:pPr>
        <w:pStyle w:val="NormlWeb"/>
        <w:spacing w:before="0" w:beforeAutospacing="0" w:after="0" w:afterAutospacing="0"/>
        <w:ind w:right="150"/>
        <w:jc w:val="both"/>
        <w:rPr>
          <w:iCs/>
          <w:u w:val="single"/>
        </w:rPr>
      </w:pPr>
    </w:p>
    <w:p w14:paraId="2983A1C8" w14:textId="77777777" w:rsidR="00981DC7" w:rsidRPr="0036788C" w:rsidRDefault="00981DC7" w:rsidP="00981DC7">
      <w:pPr>
        <w:jc w:val="both"/>
        <w:rPr>
          <w:b/>
          <w:bCs/>
          <w:i/>
          <w:iCs/>
          <w:sz w:val="24"/>
          <w:szCs w:val="24"/>
        </w:rPr>
      </w:pPr>
      <w:bookmarkStart w:id="0" w:name="pr878"/>
      <w:bookmarkEnd w:id="0"/>
      <w:r w:rsidRPr="0036788C">
        <w:rPr>
          <w:b/>
          <w:bCs/>
          <w:iCs/>
          <w:sz w:val="24"/>
          <w:szCs w:val="24"/>
        </w:rPr>
        <w:t xml:space="preserve">Tengelic Község Önkormányzata 2019. évről szóló zárszámadása a költségvetési rendelettel megegyező szerkezetben készült, melynek adatai a MÁK felé továbbított költségvetési beszámolókkal összhangban vannak, az előterjesztés tartalmazza az Áht. által előírt mérlegeket, kimutatásokat. </w:t>
      </w:r>
    </w:p>
    <w:p w14:paraId="39E24827" w14:textId="77777777" w:rsidR="00981DC7" w:rsidRPr="0036788C" w:rsidRDefault="00981DC7" w:rsidP="00981DC7">
      <w:pPr>
        <w:jc w:val="both"/>
        <w:rPr>
          <w:i/>
          <w:iCs/>
          <w:sz w:val="24"/>
          <w:szCs w:val="24"/>
        </w:rPr>
      </w:pPr>
    </w:p>
    <w:p w14:paraId="38F6D97C" w14:textId="77777777" w:rsidR="00981DC7" w:rsidRPr="0036788C" w:rsidRDefault="00981DC7" w:rsidP="00981DC7">
      <w:pPr>
        <w:jc w:val="both"/>
        <w:rPr>
          <w:i/>
          <w:iCs/>
          <w:sz w:val="24"/>
          <w:szCs w:val="24"/>
        </w:rPr>
      </w:pPr>
      <w:r w:rsidRPr="0036788C">
        <w:rPr>
          <w:iCs/>
          <w:sz w:val="24"/>
          <w:szCs w:val="24"/>
        </w:rPr>
        <w:t>Az Önkormányzat 2019. évi költségvetését a Képviselő-testület a 3/2019. (</w:t>
      </w:r>
      <w:proofErr w:type="spellStart"/>
      <w:r w:rsidRPr="0036788C">
        <w:rPr>
          <w:iCs/>
          <w:sz w:val="24"/>
          <w:szCs w:val="24"/>
        </w:rPr>
        <w:t>II.11</w:t>
      </w:r>
      <w:proofErr w:type="spellEnd"/>
      <w:r w:rsidRPr="0036788C">
        <w:rPr>
          <w:iCs/>
          <w:sz w:val="24"/>
          <w:szCs w:val="24"/>
        </w:rPr>
        <w:t xml:space="preserve">.) számú önkormányzati rendeletével 402 808 996 Ft bevétellel és kiadással fogadta el, ami költségvetési hiányt nem tartalmazott. </w:t>
      </w:r>
    </w:p>
    <w:p w14:paraId="7102314D" w14:textId="77777777" w:rsidR="00981DC7" w:rsidRPr="0036788C" w:rsidRDefault="00981DC7" w:rsidP="00981DC7">
      <w:pPr>
        <w:jc w:val="both"/>
        <w:rPr>
          <w:i/>
          <w:iCs/>
          <w:sz w:val="24"/>
          <w:szCs w:val="24"/>
        </w:rPr>
      </w:pPr>
    </w:p>
    <w:p w14:paraId="7C2A4D35" w14:textId="77777777" w:rsidR="00981DC7" w:rsidRPr="0036788C" w:rsidRDefault="00981DC7" w:rsidP="00981DC7">
      <w:pPr>
        <w:jc w:val="both"/>
        <w:rPr>
          <w:i/>
          <w:iCs/>
          <w:sz w:val="24"/>
          <w:szCs w:val="24"/>
        </w:rPr>
      </w:pPr>
      <w:r w:rsidRPr="0036788C">
        <w:rPr>
          <w:iCs/>
          <w:sz w:val="24"/>
          <w:szCs w:val="24"/>
        </w:rPr>
        <w:t>Az év során – jogszabály módosítások, pótlólagos központi költségvetési támogatások, saját bevételek, számviteli előírások, valamint a gazdálkodási szükségletek és önkormányzati döntések miatt – összesen 7 alkalommal került sor a költségvetés módosítására, melynek eredményeképpen a költségvetés főösszege 552 477 793 Ft-ra változott, mely a tervezetthez képest 37 %-os növekedést jelent.</w:t>
      </w:r>
    </w:p>
    <w:p w14:paraId="7DE0DC5E" w14:textId="77777777" w:rsidR="00981DC7" w:rsidRPr="0036788C" w:rsidRDefault="00981DC7" w:rsidP="00981DC7">
      <w:pPr>
        <w:jc w:val="both"/>
        <w:rPr>
          <w:i/>
          <w:iCs/>
          <w:color w:val="C00000"/>
          <w:sz w:val="24"/>
          <w:szCs w:val="24"/>
        </w:rPr>
      </w:pPr>
    </w:p>
    <w:p w14:paraId="3672F491" w14:textId="77777777" w:rsidR="00981DC7" w:rsidRPr="0036788C" w:rsidRDefault="00981DC7" w:rsidP="00981DC7">
      <w:pPr>
        <w:jc w:val="both"/>
        <w:rPr>
          <w:i/>
          <w:iCs/>
          <w:sz w:val="24"/>
          <w:szCs w:val="24"/>
        </w:rPr>
      </w:pPr>
      <w:r w:rsidRPr="0036788C">
        <w:rPr>
          <w:iCs/>
          <w:sz w:val="24"/>
          <w:szCs w:val="24"/>
        </w:rPr>
        <w:t>A 2019. évi költségvetés végrehajtása során a bevételeket 555 689 474 Ft-ra teljesítettük, míg a tervezett kiadásokat 393 560 261 Ft-ban realizáltuk. A pénzügyi- likviditási helyzet az év során stabil volt.</w:t>
      </w:r>
    </w:p>
    <w:p w14:paraId="731D203C" w14:textId="77777777" w:rsidR="00981DC7" w:rsidRPr="0036788C" w:rsidRDefault="00981DC7" w:rsidP="00981DC7">
      <w:pPr>
        <w:jc w:val="both"/>
        <w:rPr>
          <w:b/>
          <w:bCs/>
          <w:i/>
          <w:iCs/>
          <w:sz w:val="24"/>
          <w:szCs w:val="24"/>
        </w:rPr>
      </w:pPr>
    </w:p>
    <w:p w14:paraId="3F6A9B87" w14:textId="77777777" w:rsidR="00981DC7" w:rsidRPr="0036788C" w:rsidRDefault="00981DC7" w:rsidP="00981DC7">
      <w:pPr>
        <w:jc w:val="both"/>
        <w:rPr>
          <w:b/>
          <w:bCs/>
          <w:i/>
          <w:iCs/>
          <w:sz w:val="24"/>
          <w:szCs w:val="24"/>
        </w:rPr>
      </w:pPr>
      <w:r w:rsidRPr="0036788C">
        <w:rPr>
          <w:b/>
          <w:bCs/>
          <w:iCs/>
          <w:sz w:val="24"/>
          <w:szCs w:val="24"/>
        </w:rPr>
        <w:t>Az éves gazdálkodás adatai azt mutatják, hogy az önkormányzat 2019. évi költségvetése megalapozott volt, a rendelkezésre álló előirányzatok lehetővé tették a tervezett működési, fejlesztési feladatok megvalósítását.</w:t>
      </w:r>
    </w:p>
    <w:p w14:paraId="77DD5C16" w14:textId="77777777" w:rsidR="00981DC7" w:rsidRPr="0036788C" w:rsidRDefault="00981DC7" w:rsidP="00981DC7">
      <w:pPr>
        <w:jc w:val="both"/>
        <w:rPr>
          <w:i/>
          <w:iCs/>
          <w:sz w:val="24"/>
          <w:szCs w:val="24"/>
        </w:rPr>
      </w:pPr>
    </w:p>
    <w:p w14:paraId="0222B43A" w14:textId="77777777" w:rsidR="00981DC7" w:rsidRPr="0036788C" w:rsidRDefault="00981DC7" w:rsidP="00981DC7">
      <w:pPr>
        <w:jc w:val="center"/>
        <w:rPr>
          <w:b/>
          <w:bCs/>
          <w:i/>
          <w:iCs/>
          <w:sz w:val="24"/>
          <w:szCs w:val="24"/>
        </w:rPr>
      </w:pPr>
      <w:r w:rsidRPr="0036788C">
        <w:rPr>
          <w:b/>
          <w:bCs/>
          <w:iCs/>
          <w:sz w:val="24"/>
          <w:szCs w:val="24"/>
        </w:rPr>
        <w:t>Költségvetési bevételek alakulása</w:t>
      </w:r>
    </w:p>
    <w:p w14:paraId="0868CED8" w14:textId="77777777" w:rsidR="00981DC7" w:rsidRPr="0036788C" w:rsidRDefault="00981DC7" w:rsidP="00981DC7">
      <w:pPr>
        <w:jc w:val="both"/>
        <w:rPr>
          <w:b/>
          <w:bCs/>
          <w:i/>
          <w:iCs/>
          <w:sz w:val="24"/>
          <w:szCs w:val="24"/>
        </w:rPr>
      </w:pPr>
    </w:p>
    <w:p w14:paraId="37D3E9AC" w14:textId="77777777" w:rsidR="00981DC7" w:rsidRPr="0036788C" w:rsidRDefault="00981DC7" w:rsidP="00981DC7">
      <w:pPr>
        <w:jc w:val="both"/>
        <w:rPr>
          <w:i/>
          <w:iCs/>
          <w:sz w:val="24"/>
          <w:szCs w:val="24"/>
        </w:rPr>
      </w:pPr>
      <w:r w:rsidRPr="0036788C">
        <w:rPr>
          <w:iCs/>
          <w:sz w:val="24"/>
          <w:szCs w:val="24"/>
        </w:rPr>
        <w:t>Tengelic Község Önkormányzata 2019. évi zárszámadásának költségvetési mérlegét az 1.  melléklet tartalmazza.</w:t>
      </w:r>
    </w:p>
    <w:p w14:paraId="57B8349B" w14:textId="77777777" w:rsidR="00981DC7" w:rsidRPr="0036788C" w:rsidRDefault="00981DC7" w:rsidP="00981DC7">
      <w:pPr>
        <w:jc w:val="both"/>
        <w:rPr>
          <w:i/>
          <w:iCs/>
          <w:sz w:val="24"/>
          <w:szCs w:val="24"/>
        </w:rPr>
      </w:pPr>
    </w:p>
    <w:p w14:paraId="50C6F3A7" w14:textId="77777777" w:rsidR="00981DC7" w:rsidRPr="0036788C" w:rsidRDefault="00981DC7" w:rsidP="00981DC7">
      <w:pPr>
        <w:jc w:val="both"/>
        <w:rPr>
          <w:i/>
          <w:iCs/>
          <w:sz w:val="24"/>
          <w:szCs w:val="24"/>
        </w:rPr>
      </w:pPr>
      <w:r w:rsidRPr="0036788C">
        <w:rPr>
          <w:b/>
          <w:bCs/>
          <w:iCs/>
          <w:sz w:val="24"/>
          <w:szCs w:val="24"/>
        </w:rPr>
        <w:t xml:space="preserve">A működési bevételek teljesítése 374 497 449 Ft volt, míg a tervezett fejlesztési bevételek 175 627 322-ban </w:t>
      </w:r>
      <w:proofErr w:type="spellStart"/>
      <w:r w:rsidRPr="0036788C">
        <w:rPr>
          <w:b/>
          <w:bCs/>
          <w:iCs/>
          <w:sz w:val="24"/>
          <w:szCs w:val="24"/>
        </w:rPr>
        <w:t>realizálódtak</w:t>
      </w:r>
      <w:proofErr w:type="spellEnd"/>
      <w:r w:rsidRPr="0036788C">
        <w:rPr>
          <w:b/>
          <w:bCs/>
          <w:iCs/>
          <w:sz w:val="24"/>
          <w:szCs w:val="24"/>
        </w:rPr>
        <w:t xml:space="preserve">. </w:t>
      </w:r>
    </w:p>
    <w:p w14:paraId="7B7E233C" w14:textId="77777777" w:rsidR="00981DC7" w:rsidRPr="0036788C" w:rsidRDefault="00981DC7" w:rsidP="00981DC7">
      <w:pPr>
        <w:jc w:val="both"/>
        <w:rPr>
          <w:i/>
          <w:iCs/>
          <w:sz w:val="24"/>
          <w:szCs w:val="24"/>
          <w:u w:val="single"/>
        </w:rPr>
      </w:pPr>
      <w:r w:rsidRPr="0036788C">
        <w:rPr>
          <w:iCs/>
          <w:sz w:val="24"/>
          <w:szCs w:val="24"/>
        </w:rPr>
        <w:t>A működési és fejlesztési mérlegből (2.1.-</w:t>
      </w:r>
      <w:proofErr w:type="spellStart"/>
      <w:r w:rsidRPr="0036788C">
        <w:rPr>
          <w:iCs/>
          <w:sz w:val="24"/>
          <w:szCs w:val="24"/>
        </w:rPr>
        <w:t>2.2.számú</w:t>
      </w:r>
      <w:proofErr w:type="spellEnd"/>
      <w:r w:rsidRPr="0036788C">
        <w:rPr>
          <w:iCs/>
          <w:sz w:val="24"/>
          <w:szCs w:val="24"/>
        </w:rPr>
        <w:t xml:space="preserve"> mellékletek) látható, hogy </w:t>
      </w:r>
      <w:r w:rsidRPr="0036788C">
        <w:rPr>
          <w:iCs/>
          <w:sz w:val="24"/>
          <w:szCs w:val="24"/>
          <w:u w:val="single"/>
        </w:rPr>
        <w:t>mind a működési, mind a fejlesztési költségvetés egyenlege pozitív, a bevételek jelentősen meghaladják a kiadásokat, ami a tárgyévi gazdálkodás maradványaként jelentkezik.</w:t>
      </w:r>
    </w:p>
    <w:p w14:paraId="311A9F45" w14:textId="77777777" w:rsidR="00981DC7" w:rsidRPr="0036788C" w:rsidRDefault="00981DC7" w:rsidP="00981DC7">
      <w:pPr>
        <w:jc w:val="both"/>
        <w:rPr>
          <w:i/>
          <w:iCs/>
          <w:sz w:val="24"/>
          <w:szCs w:val="24"/>
          <w:u w:val="single"/>
        </w:rPr>
      </w:pPr>
    </w:p>
    <w:p w14:paraId="655CF840" w14:textId="77777777" w:rsidR="00981DC7" w:rsidRDefault="00981DC7" w:rsidP="00981DC7">
      <w:pPr>
        <w:jc w:val="both"/>
        <w:rPr>
          <w:b/>
          <w:bCs/>
          <w:i/>
          <w:iCs/>
          <w:noProof/>
          <w:sz w:val="24"/>
          <w:szCs w:val="24"/>
        </w:rPr>
      </w:pPr>
      <w:r w:rsidRPr="0036788C">
        <w:rPr>
          <w:iCs/>
          <w:sz w:val="24"/>
          <w:szCs w:val="24"/>
        </w:rPr>
        <w:t>A 2019-ben rendelkezésre álló források összetételét az alábbi grafikon szemlélteti:</w:t>
      </w:r>
      <w:r w:rsidRPr="0036788C">
        <w:rPr>
          <w:b/>
          <w:bCs/>
          <w:iCs/>
          <w:noProof/>
          <w:sz w:val="24"/>
          <w:szCs w:val="24"/>
        </w:rPr>
        <w:t xml:space="preserve"> </w:t>
      </w:r>
    </w:p>
    <w:p w14:paraId="3AAC9574" w14:textId="77777777" w:rsidR="00981DC7" w:rsidRPr="0036788C" w:rsidRDefault="00981DC7" w:rsidP="00981DC7">
      <w:pPr>
        <w:jc w:val="both"/>
        <w:rPr>
          <w:b/>
          <w:bCs/>
          <w:i/>
          <w:iCs/>
          <w:noProof/>
          <w:sz w:val="4"/>
          <w:szCs w:val="4"/>
        </w:rPr>
      </w:pPr>
    </w:p>
    <w:p w14:paraId="09EE53B1" w14:textId="77777777" w:rsidR="00981DC7" w:rsidRPr="0036788C" w:rsidRDefault="00981DC7" w:rsidP="00981DC7">
      <w:pPr>
        <w:ind w:left="-567"/>
        <w:jc w:val="both"/>
        <w:rPr>
          <w:b/>
          <w:bCs/>
          <w:i/>
          <w:iCs/>
          <w:noProof/>
          <w:sz w:val="24"/>
          <w:szCs w:val="24"/>
        </w:rPr>
      </w:pPr>
      <w:r w:rsidRPr="0036788C">
        <w:rPr>
          <w:b/>
          <w:bCs/>
          <w:i/>
          <w:iCs/>
          <w:noProof/>
          <w:sz w:val="24"/>
          <w:szCs w:val="24"/>
        </w:rPr>
        <w:drawing>
          <wp:inline distT="0" distB="0" distL="0" distR="0" wp14:anchorId="59B21F5A" wp14:editId="2169B376">
            <wp:extent cx="5886450" cy="2266950"/>
            <wp:effectExtent l="0" t="0" r="0" b="0"/>
            <wp:docPr id="1" name="Diagram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170D6AE5" w14:textId="77777777" w:rsidR="00981DC7" w:rsidRPr="0036788C" w:rsidRDefault="00981DC7" w:rsidP="00981DC7">
      <w:pPr>
        <w:jc w:val="both"/>
        <w:rPr>
          <w:b/>
          <w:bCs/>
          <w:i/>
          <w:iCs/>
          <w:sz w:val="24"/>
          <w:szCs w:val="24"/>
        </w:rPr>
      </w:pPr>
      <w:r w:rsidRPr="0036788C">
        <w:rPr>
          <w:b/>
          <w:bCs/>
          <w:iCs/>
          <w:sz w:val="24"/>
          <w:szCs w:val="24"/>
        </w:rPr>
        <w:lastRenderedPageBreak/>
        <w:t xml:space="preserve">Működési bevételek </w:t>
      </w:r>
    </w:p>
    <w:p w14:paraId="78CA9281" w14:textId="77777777" w:rsidR="00981DC7" w:rsidRPr="0036788C" w:rsidRDefault="00981DC7" w:rsidP="00981DC7">
      <w:pPr>
        <w:jc w:val="both"/>
        <w:rPr>
          <w:i/>
          <w:iCs/>
          <w:sz w:val="24"/>
          <w:szCs w:val="24"/>
        </w:rPr>
      </w:pPr>
    </w:p>
    <w:p w14:paraId="0E634B5D" w14:textId="77777777" w:rsidR="00981DC7" w:rsidRPr="0036788C" w:rsidRDefault="00981DC7" w:rsidP="00981DC7">
      <w:pPr>
        <w:jc w:val="both"/>
        <w:rPr>
          <w:i/>
          <w:iCs/>
          <w:sz w:val="24"/>
          <w:szCs w:val="24"/>
          <w:u w:val="single"/>
        </w:rPr>
      </w:pPr>
      <w:r w:rsidRPr="0036788C">
        <w:rPr>
          <w:iCs/>
          <w:sz w:val="24"/>
          <w:szCs w:val="24"/>
          <w:u w:val="single"/>
        </w:rPr>
        <w:t>Állami támogatások</w:t>
      </w:r>
    </w:p>
    <w:p w14:paraId="124EE2DD" w14:textId="77777777" w:rsidR="00981DC7" w:rsidRPr="0036788C" w:rsidRDefault="00981DC7" w:rsidP="00981DC7">
      <w:pPr>
        <w:pStyle w:val="Szvegtrzs"/>
        <w:rPr>
          <w:rFonts w:eastAsia="Times New Roman"/>
          <w:iCs/>
        </w:rPr>
      </w:pPr>
      <w:r w:rsidRPr="0036788C">
        <w:rPr>
          <w:rFonts w:eastAsia="Times New Roman"/>
          <w:iCs/>
        </w:rPr>
        <w:t>Az önkormányzat működési feladataihoz való állami hozzájárulás összege 142 215 402 Ft volt</w:t>
      </w:r>
    </w:p>
    <w:p w14:paraId="7761F4F9" w14:textId="77777777" w:rsidR="00981DC7" w:rsidRPr="0036788C" w:rsidRDefault="00981DC7" w:rsidP="00981DC7">
      <w:pPr>
        <w:pStyle w:val="Szvegtrzs"/>
        <w:rPr>
          <w:rFonts w:eastAsia="Times New Roman"/>
          <w:iCs/>
        </w:rPr>
      </w:pPr>
      <w:r w:rsidRPr="0036788C">
        <w:rPr>
          <w:rFonts w:eastAsia="Times New Roman"/>
          <w:iCs/>
        </w:rPr>
        <w:t xml:space="preserve">A részletes adatokat a 3-4. mellékletek tartalmazzák. </w:t>
      </w:r>
    </w:p>
    <w:p w14:paraId="03FFF99C" w14:textId="77777777" w:rsidR="00981DC7" w:rsidRPr="0036788C" w:rsidRDefault="00981DC7" w:rsidP="00981DC7">
      <w:pPr>
        <w:jc w:val="both"/>
        <w:rPr>
          <w:i/>
          <w:iCs/>
          <w:sz w:val="24"/>
          <w:szCs w:val="24"/>
          <w:highlight w:val="yellow"/>
        </w:rPr>
      </w:pPr>
    </w:p>
    <w:p w14:paraId="0E17809C" w14:textId="77777777" w:rsidR="00981DC7" w:rsidRPr="0036788C" w:rsidRDefault="00981DC7" w:rsidP="00981DC7">
      <w:pPr>
        <w:jc w:val="both"/>
        <w:rPr>
          <w:i/>
          <w:iCs/>
          <w:sz w:val="24"/>
          <w:szCs w:val="24"/>
        </w:rPr>
      </w:pPr>
      <w:r w:rsidRPr="0036788C">
        <w:rPr>
          <w:iCs/>
          <w:sz w:val="24"/>
          <w:szCs w:val="24"/>
          <w:u w:val="single"/>
        </w:rPr>
        <w:t>Az évvégi elszámolás során, az önkormányzatnak 1 104 004 Ft visszafizetési kötelezettsége keletkezett</w:t>
      </w:r>
      <w:r w:rsidRPr="0036788C">
        <w:rPr>
          <w:iCs/>
          <w:sz w:val="24"/>
          <w:szCs w:val="24"/>
        </w:rPr>
        <w:t xml:space="preserve"> (13 721 Ft visszafizetésre az óvodai ellátás és étkeztetés feladatmutatói miatt kerül sor, további 1 090 283 Ft visszafizetésre a helyi önkormányzatok kiegészítő támogatása fel nem használt része: a téli rezsicsökkentésből megmaradt </w:t>
      </w:r>
      <w:proofErr w:type="gramStart"/>
      <w:r w:rsidRPr="0036788C">
        <w:rPr>
          <w:iCs/>
          <w:sz w:val="24"/>
          <w:szCs w:val="24"/>
        </w:rPr>
        <w:t>összeg</w:t>
      </w:r>
      <w:proofErr w:type="gramEnd"/>
      <w:r w:rsidRPr="0036788C">
        <w:rPr>
          <w:iCs/>
          <w:sz w:val="24"/>
          <w:szCs w:val="24"/>
        </w:rPr>
        <w:t xml:space="preserve"> valamint az óvodai és étkeztetés túlfinanszírozása miatt került sor.)</w:t>
      </w:r>
    </w:p>
    <w:p w14:paraId="36AD9738" w14:textId="77777777" w:rsidR="00981DC7" w:rsidRPr="0036788C" w:rsidRDefault="00981DC7" w:rsidP="00981DC7">
      <w:pPr>
        <w:jc w:val="both"/>
        <w:rPr>
          <w:i/>
          <w:iCs/>
          <w:sz w:val="24"/>
          <w:szCs w:val="24"/>
        </w:rPr>
      </w:pPr>
      <w:r w:rsidRPr="0036788C">
        <w:rPr>
          <w:iCs/>
          <w:sz w:val="24"/>
          <w:szCs w:val="24"/>
        </w:rPr>
        <w:t>A 2018. évi beszámoló elszámolása után az önkormányzatot 254 503 Ft pótlólagos támogatás illette meg.</w:t>
      </w:r>
    </w:p>
    <w:p w14:paraId="3C8F222D" w14:textId="77777777" w:rsidR="00981DC7" w:rsidRPr="0036788C" w:rsidRDefault="00981DC7" w:rsidP="00981DC7">
      <w:pPr>
        <w:jc w:val="both"/>
        <w:rPr>
          <w:bCs/>
          <w:i/>
          <w:iCs/>
          <w:sz w:val="24"/>
          <w:szCs w:val="24"/>
        </w:rPr>
      </w:pPr>
    </w:p>
    <w:p w14:paraId="5A1EE23A" w14:textId="77777777" w:rsidR="00981DC7" w:rsidRPr="0036788C" w:rsidRDefault="00981DC7" w:rsidP="00981DC7">
      <w:pPr>
        <w:jc w:val="both"/>
        <w:rPr>
          <w:i/>
          <w:iCs/>
          <w:sz w:val="24"/>
          <w:szCs w:val="24"/>
          <w:u w:val="single"/>
        </w:rPr>
      </w:pPr>
      <w:r w:rsidRPr="0036788C">
        <w:rPr>
          <w:iCs/>
          <w:sz w:val="24"/>
          <w:szCs w:val="24"/>
          <w:u w:val="single"/>
        </w:rPr>
        <w:t>Működési célú támogatások államháztartáson belülről</w:t>
      </w:r>
    </w:p>
    <w:p w14:paraId="6DD9A8A7" w14:textId="77777777" w:rsidR="00981DC7" w:rsidRPr="0036788C" w:rsidRDefault="00981DC7" w:rsidP="00981DC7">
      <w:pPr>
        <w:jc w:val="both"/>
        <w:rPr>
          <w:i/>
          <w:iCs/>
          <w:sz w:val="24"/>
          <w:szCs w:val="24"/>
        </w:rPr>
      </w:pPr>
    </w:p>
    <w:p w14:paraId="522809D9" w14:textId="77777777" w:rsidR="00981DC7" w:rsidRPr="0036788C" w:rsidRDefault="00981DC7" w:rsidP="00981DC7">
      <w:pPr>
        <w:jc w:val="both"/>
        <w:rPr>
          <w:i/>
          <w:iCs/>
          <w:sz w:val="24"/>
          <w:szCs w:val="24"/>
        </w:rPr>
      </w:pPr>
      <w:r w:rsidRPr="0036788C">
        <w:rPr>
          <w:iCs/>
          <w:sz w:val="24"/>
          <w:szCs w:val="24"/>
        </w:rPr>
        <w:t xml:space="preserve">2019. évben </w:t>
      </w:r>
      <w:r w:rsidRPr="0036788C">
        <w:rPr>
          <w:b/>
          <w:bCs/>
          <w:iCs/>
          <w:sz w:val="24"/>
          <w:szCs w:val="24"/>
        </w:rPr>
        <w:t>29 207 613 Ft egyéb támogatás finanszírozta működésünket</w:t>
      </w:r>
      <w:r w:rsidRPr="0036788C">
        <w:rPr>
          <w:iCs/>
          <w:sz w:val="24"/>
          <w:szCs w:val="24"/>
        </w:rPr>
        <w:t>, melyeket részletesen az 5. melléklet tartalmazza.</w:t>
      </w:r>
    </w:p>
    <w:p w14:paraId="650EBB59" w14:textId="77777777" w:rsidR="00981DC7" w:rsidRPr="0036788C" w:rsidRDefault="00981DC7" w:rsidP="00981DC7">
      <w:pPr>
        <w:jc w:val="both"/>
        <w:rPr>
          <w:i/>
          <w:iCs/>
          <w:sz w:val="24"/>
          <w:szCs w:val="24"/>
        </w:rPr>
      </w:pPr>
    </w:p>
    <w:p w14:paraId="0136264B" w14:textId="77777777" w:rsidR="00981DC7" w:rsidRPr="0036788C" w:rsidRDefault="00981DC7" w:rsidP="00981DC7">
      <w:pPr>
        <w:jc w:val="both"/>
        <w:rPr>
          <w:i/>
          <w:iCs/>
          <w:sz w:val="24"/>
          <w:szCs w:val="24"/>
        </w:rPr>
      </w:pPr>
      <w:r w:rsidRPr="0036788C">
        <w:rPr>
          <w:iCs/>
          <w:sz w:val="24"/>
          <w:szCs w:val="24"/>
        </w:rPr>
        <w:t xml:space="preserve">Az új finanszírozási, és elszámolási szabályok alapján, támogatásértékű bevételként kellett elszámolni a 2019. évre december végén kapott </w:t>
      </w:r>
      <w:r w:rsidRPr="0036788C">
        <w:rPr>
          <w:iCs/>
          <w:sz w:val="24"/>
          <w:szCs w:val="24"/>
          <w:u w:val="single"/>
        </w:rPr>
        <w:t>finanszírozási előleget</w:t>
      </w:r>
      <w:r w:rsidRPr="0036788C">
        <w:rPr>
          <w:iCs/>
          <w:sz w:val="24"/>
          <w:szCs w:val="24"/>
        </w:rPr>
        <w:t xml:space="preserve">, melynek összege </w:t>
      </w:r>
    </w:p>
    <w:p w14:paraId="1567C060" w14:textId="77777777" w:rsidR="00981DC7" w:rsidRPr="0036788C" w:rsidRDefault="00981DC7" w:rsidP="00981DC7">
      <w:pPr>
        <w:jc w:val="both"/>
        <w:rPr>
          <w:i/>
          <w:iCs/>
          <w:sz w:val="24"/>
          <w:szCs w:val="24"/>
        </w:rPr>
      </w:pPr>
      <w:r w:rsidRPr="0036788C">
        <w:rPr>
          <w:iCs/>
          <w:sz w:val="24"/>
          <w:szCs w:val="24"/>
        </w:rPr>
        <w:t>5 564 703 Ft volt, és év végén a maradvány részét képezte.</w:t>
      </w:r>
    </w:p>
    <w:p w14:paraId="484BCE09" w14:textId="77777777" w:rsidR="00981DC7" w:rsidRPr="0036788C" w:rsidRDefault="00981DC7" w:rsidP="00981DC7">
      <w:pPr>
        <w:jc w:val="both"/>
        <w:rPr>
          <w:i/>
          <w:iCs/>
          <w:sz w:val="24"/>
          <w:szCs w:val="24"/>
        </w:rPr>
      </w:pPr>
    </w:p>
    <w:p w14:paraId="1F2C063A" w14:textId="77777777" w:rsidR="00981DC7" w:rsidRPr="0036788C" w:rsidRDefault="00981DC7" w:rsidP="00981DC7">
      <w:pPr>
        <w:jc w:val="both"/>
        <w:rPr>
          <w:i/>
          <w:iCs/>
          <w:sz w:val="24"/>
          <w:szCs w:val="24"/>
          <w:u w:val="single"/>
        </w:rPr>
      </w:pPr>
      <w:r w:rsidRPr="0036788C">
        <w:rPr>
          <w:iCs/>
          <w:sz w:val="24"/>
          <w:szCs w:val="24"/>
          <w:u w:val="single"/>
        </w:rPr>
        <w:t>Közhatalmi bevételek</w:t>
      </w:r>
    </w:p>
    <w:p w14:paraId="76F79DDB" w14:textId="77777777" w:rsidR="00981DC7" w:rsidRPr="0036788C" w:rsidRDefault="00981DC7" w:rsidP="00981DC7">
      <w:pPr>
        <w:jc w:val="both"/>
        <w:rPr>
          <w:i/>
          <w:iCs/>
          <w:sz w:val="24"/>
          <w:szCs w:val="24"/>
        </w:rPr>
      </w:pPr>
    </w:p>
    <w:p w14:paraId="146FE302" w14:textId="77777777" w:rsidR="00981DC7" w:rsidRPr="0036788C" w:rsidRDefault="00981DC7" w:rsidP="00981DC7">
      <w:pPr>
        <w:jc w:val="both"/>
        <w:rPr>
          <w:i/>
          <w:iCs/>
          <w:sz w:val="24"/>
          <w:szCs w:val="24"/>
          <w:u w:val="single"/>
        </w:rPr>
      </w:pPr>
      <w:r w:rsidRPr="0036788C">
        <w:rPr>
          <w:iCs/>
          <w:sz w:val="24"/>
          <w:szCs w:val="24"/>
        </w:rPr>
        <w:t xml:space="preserve">Az önkormányzati gazdálkodás legfontosabb saját forrását az állami támogatások mellett az adóbevételek jelentik. </w:t>
      </w:r>
    </w:p>
    <w:p w14:paraId="23646E5D" w14:textId="77777777" w:rsidR="00981DC7" w:rsidRPr="0036788C" w:rsidRDefault="00981DC7" w:rsidP="00981DC7">
      <w:pPr>
        <w:jc w:val="both"/>
        <w:rPr>
          <w:i/>
          <w:iCs/>
          <w:sz w:val="24"/>
          <w:szCs w:val="24"/>
          <w:u w:val="single"/>
        </w:rPr>
      </w:pPr>
      <w:r w:rsidRPr="0036788C">
        <w:rPr>
          <w:iCs/>
          <w:sz w:val="24"/>
          <w:szCs w:val="24"/>
        </w:rPr>
        <w:t>Mivel a helyi adóbevételek jelentős részét a kötelező feladatok finanszírozására kell fordítani, ezért jelentősége – és egyúttal kockázata -</w:t>
      </w:r>
      <w:r w:rsidRPr="0036788C">
        <w:rPr>
          <w:iCs/>
          <w:sz w:val="24"/>
          <w:szCs w:val="24"/>
          <w:u w:val="single"/>
        </w:rPr>
        <w:t xml:space="preserve"> a fizetőképesség megőrzése és a gazdálkodás mozgástere tekintetében kiemelkedő.</w:t>
      </w:r>
    </w:p>
    <w:p w14:paraId="5EEAA6D2" w14:textId="77777777" w:rsidR="00981DC7" w:rsidRPr="0036788C" w:rsidRDefault="00981DC7" w:rsidP="00981DC7">
      <w:pPr>
        <w:jc w:val="both"/>
        <w:rPr>
          <w:i/>
          <w:iCs/>
          <w:sz w:val="24"/>
          <w:szCs w:val="24"/>
        </w:rPr>
      </w:pPr>
    </w:p>
    <w:p w14:paraId="6B0EB99A" w14:textId="77777777" w:rsidR="00981DC7" w:rsidRPr="0036788C" w:rsidRDefault="00981DC7" w:rsidP="00981DC7">
      <w:pPr>
        <w:jc w:val="both"/>
        <w:rPr>
          <w:b/>
          <w:bCs/>
          <w:i/>
          <w:iCs/>
          <w:sz w:val="24"/>
          <w:szCs w:val="24"/>
        </w:rPr>
      </w:pPr>
      <w:r w:rsidRPr="0036788C">
        <w:rPr>
          <w:iCs/>
          <w:sz w:val="24"/>
          <w:szCs w:val="24"/>
        </w:rPr>
        <w:t xml:space="preserve">Az önkormányzat </w:t>
      </w:r>
      <w:r w:rsidRPr="0036788C">
        <w:rPr>
          <w:b/>
          <w:bCs/>
          <w:iCs/>
          <w:sz w:val="24"/>
          <w:szCs w:val="24"/>
        </w:rPr>
        <w:t>helyi adó bevételei 2019-ben összességében 94 407 069 Ft-ban teljesültek</w:t>
      </w:r>
      <w:r w:rsidRPr="0036788C">
        <w:rPr>
          <w:iCs/>
          <w:sz w:val="24"/>
          <w:szCs w:val="24"/>
        </w:rPr>
        <w:t xml:space="preserve">, </w:t>
      </w:r>
      <w:r w:rsidRPr="0036788C">
        <w:rPr>
          <w:b/>
          <w:bCs/>
          <w:iCs/>
          <w:sz w:val="24"/>
          <w:szCs w:val="24"/>
        </w:rPr>
        <w:t>ami az eredeti előirányzathoz képest 156,82 %-os teljesülést jelent.</w:t>
      </w:r>
    </w:p>
    <w:p w14:paraId="2EF337B1" w14:textId="77777777" w:rsidR="00981DC7" w:rsidRPr="0036788C" w:rsidRDefault="00981DC7" w:rsidP="00981DC7">
      <w:pPr>
        <w:jc w:val="both"/>
        <w:rPr>
          <w:i/>
          <w:iCs/>
          <w:sz w:val="24"/>
          <w:szCs w:val="24"/>
        </w:rPr>
      </w:pPr>
    </w:p>
    <w:p w14:paraId="43AC46C2" w14:textId="77777777" w:rsidR="00981DC7" w:rsidRPr="0036788C" w:rsidRDefault="00981DC7" w:rsidP="00981DC7">
      <w:pPr>
        <w:jc w:val="both"/>
        <w:rPr>
          <w:b/>
          <w:bCs/>
          <w:i/>
          <w:iCs/>
          <w:sz w:val="24"/>
          <w:szCs w:val="24"/>
        </w:rPr>
      </w:pPr>
      <w:r w:rsidRPr="0036788C">
        <w:rPr>
          <w:b/>
          <w:bCs/>
          <w:iCs/>
          <w:sz w:val="24"/>
          <w:szCs w:val="24"/>
        </w:rPr>
        <w:t>Iparűzési adó</w:t>
      </w:r>
    </w:p>
    <w:p w14:paraId="432368ED" w14:textId="77777777" w:rsidR="00981DC7" w:rsidRPr="0036788C" w:rsidRDefault="00981DC7" w:rsidP="00981DC7">
      <w:pPr>
        <w:jc w:val="both"/>
        <w:rPr>
          <w:i/>
          <w:iCs/>
          <w:sz w:val="24"/>
          <w:szCs w:val="24"/>
        </w:rPr>
      </w:pPr>
    </w:p>
    <w:p w14:paraId="407D2DE1" w14:textId="77777777" w:rsidR="00981DC7" w:rsidRPr="0036788C" w:rsidRDefault="00981DC7" w:rsidP="00981DC7">
      <w:pPr>
        <w:jc w:val="both"/>
        <w:rPr>
          <w:i/>
          <w:iCs/>
          <w:sz w:val="24"/>
          <w:szCs w:val="24"/>
        </w:rPr>
      </w:pPr>
      <w:r w:rsidRPr="0036788C">
        <w:rPr>
          <w:iCs/>
          <w:sz w:val="24"/>
          <w:szCs w:val="24"/>
        </w:rPr>
        <w:t>2019-ben az önkormányzathoz befolyt adóbevétel 72 852 556 Ft lett. Az előző évihez képest 901 961 Ft-tal több a befolyt bevétel.</w:t>
      </w:r>
    </w:p>
    <w:p w14:paraId="1D55EC27" w14:textId="77777777" w:rsidR="00981DC7" w:rsidRPr="0036788C" w:rsidRDefault="00981DC7" w:rsidP="00981DC7">
      <w:pPr>
        <w:jc w:val="both"/>
        <w:rPr>
          <w:b/>
          <w:bCs/>
          <w:i/>
          <w:iCs/>
          <w:sz w:val="24"/>
          <w:szCs w:val="24"/>
        </w:rPr>
      </w:pPr>
      <w:r w:rsidRPr="0036788C">
        <w:rPr>
          <w:iCs/>
          <w:sz w:val="24"/>
          <w:szCs w:val="24"/>
        </w:rPr>
        <w:t xml:space="preserve">A 2019. évi iparűzési adó összege majd a szeptember 30-ig kitolt bevallások alapján fog </w:t>
      </w:r>
      <w:proofErr w:type="spellStart"/>
      <w:r w:rsidRPr="0036788C">
        <w:rPr>
          <w:iCs/>
          <w:sz w:val="24"/>
          <w:szCs w:val="24"/>
        </w:rPr>
        <w:t>véglegeződni</w:t>
      </w:r>
      <w:proofErr w:type="spellEnd"/>
      <w:r w:rsidRPr="0036788C">
        <w:rPr>
          <w:iCs/>
          <w:sz w:val="24"/>
          <w:szCs w:val="24"/>
        </w:rPr>
        <w:t>, ami ennél több és kevesebb is lehet.</w:t>
      </w:r>
      <w:r w:rsidRPr="0036788C">
        <w:rPr>
          <w:b/>
          <w:bCs/>
          <w:iCs/>
          <w:sz w:val="24"/>
          <w:szCs w:val="24"/>
        </w:rPr>
        <w:t xml:space="preserve"> </w:t>
      </w:r>
    </w:p>
    <w:p w14:paraId="04515EBA" w14:textId="77777777" w:rsidR="00981DC7" w:rsidRPr="0036788C" w:rsidRDefault="00981DC7" w:rsidP="00981DC7">
      <w:pPr>
        <w:jc w:val="both"/>
        <w:rPr>
          <w:i/>
          <w:iCs/>
          <w:sz w:val="24"/>
          <w:szCs w:val="24"/>
        </w:rPr>
      </w:pPr>
    </w:p>
    <w:p w14:paraId="40ABAEC8" w14:textId="77777777" w:rsidR="00981DC7" w:rsidRPr="0036788C" w:rsidRDefault="00981DC7" w:rsidP="00981DC7">
      <w:pPr>
        <w:jc w:val="both"/>
        <w:rPr>
          <w:i/>
          <w:iCs/>
          <w:sz w:val="24"/>
          <w:szCs w:val="24"/>
        </w:rPr>
      </w:pPr>
      <w:r w:rsidRPr="0036788C">
        <w:rPr>
          <w:iCs/>
          <w:sz w:val="24"/>
          <w:szCs w:val="24"/>
        </w:rPr>
        <w:t xml:space="preserve">A </w:t>
      </w:r>
      <w:r w:rsidRPr="0036788C">
        <w:rPr>
          <w:b/>
          <w:bCs/>
          <w:iCs/>
          <w:sz w:val="24"/>
          <w:szCs w:val="24"/>
        </w:rPr>
        <w:t xml:space="preserve">gépjárműadóból </w:t>
      </w:r>
      <w:r w:rsidRPr="0036788C">
        <w:rPr>
          <w:iCs/>
          <w:sz w:val="24"/>
          <w:szCs w:val="24"/>
        </w:rPr>
        <w:t>2013-</w:t>
      </w:r>
      <w:proofErr w:type="spellStart"/>
      <w:r w:rsidRPr="0036788C">
        <w:rPr>
          <w:iCs/>
          <w:sz w:val="24"/>
          <w:szCs w:val="24"/>
        </w:rPr>
        <w:t>tól</w:t>
      </w:r>
      <w:proofErr w:type="spellEnd"/>
      <w:r w:rsidRPr="0036788C">
        <w:rPr>
          <w:iCs/>
          <w:sz w:val="24"/>
          <w:szCs w:val="24"/>
        </w:rPr>
        <w:t xml:space="preserve"> csak a beszedett adó 40%-a illeti meg az önkormányzatot, melynek összege 2019. évben 5 165 623 Ft összegben realizálódott. </w:t>
      </w:r>
    </w:p>
    <w:p w14:paraId="155D04C0" w14:textId="77777777" w:rsidR="00981DC7" w:rsidRPr="0036788C" w:rsidRDefault="00981DC7" w:rsidP="00981DC7">
      <w:pPr>
        <w:jc w:val="both"/>
        <w:rPr>
          <w:i/>
          <w:iCs/>
          <w:sz w:val="24"/>
          <w:szCs w:val="24"/>
        </w:rPr>
      </w:pPr>
    </w:p>
    <w:p w14:paraId="2C8C0847" w14:textId="77777777" w:rsidR="00981DC7" w:rsidRPr="0036788C" w:rsidRDefault="00981DC7" w:rsidP="00981DC7">
      <w:pPr>
        <w:jc w:val="both"/>
        <w:rPr>
          <w:i/>
          <w:iCs/>
          <w:sz w:val="24"/>
          <w:szCs w:val="24"/>
        </w:rPr>
      </w:pPr>
      <w:r w:rsidRPr="0036788C">
        <w:rPr>
          <w:iCs/>
          <w:sz w:val="24"/>
          <w:szCs w:val="24"/>
        </w:rPr>
        <w:t xml:space="preserve">A </w:t>
      </w:r>
      <w:r w:rsidRPr="0036788C">
        <w:rPr>
          <w:b/>
          <w:bCs/>
          <w:iCs/>
          <w:sz w:val="24"/>
          <w:szCs w:val="24"/>
        </w:rPr>
        <w:t>magánszemélyek kommunális</w:t>
      </w:r>
      <w:r w:rsidRPr="0036788C">
        <w:rPr>
          <w:iCs/>
          <w:sz w:val="24"/>
          <w:szCs w:val="24"/>
        </w:rPr>
        <w:t xml:space="preserve"> </w:t>
      </w:r>
      <w:r w:rsidRPr="0036788C">
        <w:rPr>
          <w:b/>
          <w:bCs/>
          <w:iCs/>
          <w:sz w:val="24"/>
          <w:szCs w:val="24"/>
        </w:rPr>
        <w:t>adója</w:t>
      </w:r>
      <w:r w:rsidRPr="0036788C">
        <w:rPr>
          <w:iCs/>
          <w:sz w:val="24"/>
          <w:szCs w:val="24"/>
        </w:rPr>
        <w:t xml:space="preserve"> esetén az adó mértékek nem változtak. </w:t>
      </w:r>
    </w:p>
    <w:p w14:paraId="13264D0F" w14:textId="77777777" w:rsidR="00981DC7" w:rsidRPr="0036788C" w:rsidRDefault="00981DC7" w:rsidP="00981DC7">
      <w:pPr>
        <w:jc w:val="both"/>
        <w:rPr>
          <w:b/>
          <w:bCs/>
          <w:i/>
          <w:iCs/>
          <w:sz w:val="24"/>
          <w:szCs w:val="24"/>
        </w:rPr>
      </w:pPr>
      <w:r w:rsidRPr="0036788C">
        <w:rPr>
          <w:iCs/>
          <w:sz w:val="24"/>
          <w:szCs w:val="24"/>
        </w:rPr>
        <w:t xml:space="preserve">A 10 463 250 Ft kommunális adó </w:t>
      </w:r>
      <w:r w:rsidRPr="0036788C">
        <w:rPr>
          <w:b/>
          <w:bCs/>
          <w:iCs/>
          <w:sz w:val="24"/>
          <w:szCs w:val="24"/>
        </w:rPr>
        <w:t>az önkormányzat működési forrását jelenti.</w:t>
      </w:r>
    </w:p>
    <w:p w14:paraId="3F66F3F1" w14:textId="77777777" w:rsidR="00981DC7" w:rsidRPr="0036788C" w:rsidRDefault="00981DC7" w:rsidP="00981DC7">
      <w:pPr>
        <w:jc w:val="both"/>
        <w:rPr>
          <w:b/>
          <w:bCs/>
          <w:i/>
          <w:iCs/>
          <w:sz w:val="24"/>
          <w:szCs w:val="24"/>
        </w:rPr>
      </w:pPr>
    </w:p>
    <w:p w14:paraId="6BA946EE" w14:textId="77777777" w:rsidR="00981DC7" w:rsidRPr="0036788C" w:rsidRDefault="00981DC7" w:rsidP="00981DC7">
      <w:pPr>
        <w:jc w:val="both"/>
        <w:rPr>
          <w:bCs/>
          <w:i/>
          <w:iCs/>
          <w:sz w:val="24"/>
          <w:szCs w:val="24"/>
        </w:rPr>
      </w:pPr>
      <w:r w:rsidRPr="0036788C">
        <w:rPr>
          <w:b/>
          <w:bCs/>
          <w:iCs/>
          <w:sz w:val="24"/>
          <w:szCs w:val="24"/>
        </w:rPr>
        <w:t xml:space="preserve">Egyéb közhatalmi bevételként </w:t>
      </w:r>
      <w:r w:rsidRPr="0036788C">
        <w:rPr>
          <w:bCs/>
          <w:iCs/>
          <w:sz w:val="24"/>
          <w:szCs w:val="24"/>
        </w:rPr>
        <w:t>5 925 640 Ft folyt be. Ez tartalmazza a mezőőri járulékot, a pótlék, bírság bevételeket, a talajterhelési díjakat.</w:t>
      </w:r>
    </w:p>
    <w:p w14:paraId="58130541" w14:textId="77777777" w:rsidR="00981DC7" w:rsidRPr="0036788C" w:rsidRDefault="00981DC7" w:rsidP="00981DC7">
      <w:pPr>
        <w:jc w:val="both"/>
        <w:rPr>
          <w:i/>
          <w:iCs/>
          <w:sz w:val="24"/>
          <w:szCs w:val="24"/>
        </w:rPr>
      </w:pPr>
    </w:p>
    <w:p w14:paraId="6CBD84EC" w14:textId="77777777" w:rsidR="00981DC7" w:rsidRPr="0036788C" w:rsidRDefault="00981DC7" w:rsidP="00981DC7">
      <w:pPr>
        <w:jc w:val="both"/>
        <w:rPr>
          <w:i/>
          <w:iCs/>
          <w:sz w:val="24"/>
          <w:szCs w:val="24"/>
          <w:u w:val="single"/>
        </w:rPr>
      </w:pPr>
      <w:r w:rsidRPr="0036788C">
        <w:rPr>
          <w:iCs/>
          <w:sz w:val="24"/>
          <w:szCs w:val="24"/>
          <w:u w:val="single"/>
        </w:rPr>
        <w:lastRenderedPageBreak/>
        <w:t>Működési bevételek</w:t>
      </w:r>
    </w:p>
    <w:p w14:paraId="3DA14AAB" w14:textId="77777777" w:rsidR="00981DC7" w:rsidRPr="0036788C" w:rsidRDefault="00981DC7" w:rsidP="00981DC7">
      <w:pPr>
        <w:tabs>
          <w:tab w:val="left" w:pos="6750"/>
        </w:tabs>
        <w:jc w:val="both"/>
        <w:rPr>
          <w:i/>
          <w:iCs/>
          <w:sz w:val="24"/>
          <w:szCs w:val="24"/>
        </w:rPr>
      </w:pPr>
    </w:p>
    <w:p w14:paraId="6FBA628D" w14:textId="77777777" w:rsidR="00981DC7" w:rsidRPr="0036788C" w:rsidRDefault="00981DC7" w:rsidP="00981DC7">
      <w:pPr>
        <w:tabs>
          <w:tab w:val="left" w:pos="6750"/>
        </w:tabs>
        <w:jc w:val="both"/>
        <w:rPr>
          <w:i/>
          <w:iCs/>
          <w:sz w:val="24"/>
          <w:szCs w:val="24"/>
        </w:rPr>
      </w:pPr>
      <w:r w:rsidRPr="0036788C">
        <w:rPr>
          <w:iCs/>
          <w:sz w:val="24"/>
          <w:szCs w:val="24"/>
        </w:rPr>
        <w:t xml:space="preserve">A működési bevételek teljesítése </w:t>
      </w:r>
      <w:r w:rsidRPr="0036788C">
        <w:rPr>
          <w:b/>
          <w:bCs/>
          <w:iCs/>
          <w:sz w:val="24"/>
          <w:szCs w:val="24"/>
        </w:rPr>
        <w:t>44 305 605 Ft volt</w:t>
      </w:r>
      <w:r w:rsidRPr="0036788C">
        <w:rPr>
          <w:iCs/>
          <w:sz w:val="24"/>
          <w:szCs w:val="24"/>
        </w:rPr>
        <w:t xml:space="preserve">, melyből 22 186 </w:t>
      </w:r>
      <w:proofErr w:type="gramStart"/>
      <w:r w:rsidRPr="0036788C">
        <w:rPr>
          <w:iCs/>
          <w:sz w:val="24"/>
          <w:szCs w:val="24"/>
        </w:rPr>
        <w:t>025  Ft</w:t>
      </w:r>
      <w:proofErr w:type="gramEnd"/>
      <w:r w:rsidRPr="0036788C">
        <w:rPr>
          <w:iCs/>
          <w:sz w:val="24"/>
          <w:szCs w:val="24"/>
        </w:rPr>
        <w:t xml:space="preserve"> az intézményeknél realizálódott. Az intézményi </w:t>
      </w:r>
      <w:r w:rsidRPr="0036788C">
        <w:rPr>
          <w:iCs/>
          <w:sz w:val="24"/>
          <w:szCs w:val="24"/>
          <w:u w:val="single"/>
        </w:rPr>
        <w:t>térítési díjak összege</w:t>
      </w:r>
      <w:r w:rsidRPr="0036788C">
        <w:rPr>
          <w:iCs/>
          <w:sz w:val="24"/>
          <w:szCs w:val="24"/>
        </w:rPr>
        <w:t xml:space="preserve"> a polgármesteri hivatal költségvetésében jelenik meg, mivel a konyha 2017. január 1-</w:t>
      </w:r>
      <w:proofErr w:type="spellStart"/>
      <w:r w:rsidRPr="0036788C">
        <w:rPr>
          <w:iCs/>
          <w:sz w:val="24"/>
          <w:szCs w:val="24"/>
        </w:rPr>
        <w:t>jétől</w:t>
      </w:r>
      <w:proofErr w:type="spellEnd"/>
      <w:r w:rsidRPr="0036788C">
        <w:rPr>
          <w:iCs/>
          <w:sz w:val="24"/>
          <w:szCs w:val="24"/>
        </w:rPr>
        <w:t xml:space="preserve"> a hivatalhoz került. </w:t>
      </w:r>
    </w:p>
    <w:p w14:paraId="5C63B2A8" w14:textId="77777777" w:rsidR="00981DC7" w:rsidRPr="0036788C" w:rsidRDefault="00981DC7" w:rsidP="00981DC7">
      <w:pPr>
        <w:tabs>
          <w:tab w:val="left" w:pos="6750"/>
        </w:tabs>
        <w:jc w:val="both"/>
        <w:rPr>
          <w:i/>
          <w:iCs/>
          <w:sz w:val="24"/>
          <w:szCs w:val="24"/>
        </w:rPr>
      </w:pPr>
    </w:p>
    <w:p w14:paraId="77C9C58C" w14:textId="77777777" w:rsidR="00981DC7" w:rsidRPr="0036788C" w:rsidRDefault="00981DC7" w:rsidP="00981DC7">
      <w:pPr>
        <w:tabs>
          <w:tab w:val="left" w:pos="6750"/>
        </w:tabs>
        <w:jc w:val="both"/>
        <w:rPr>
          <w:i/>
          <w:iCs/>
          <w:sz w:val="24"/>
          <w:szCs w:val="24"/>
          <w:u w:val="single"/>
        </w:rPr>
      </w:pPr>
      <w:r w:rsidRPr="0036788C">
        <w:rPr>
          <w:iCs/>
          <w:sz w:val="24"/>
          <w:szCs w:val="24"/>
          <w:u w:val="single"/>
        </w:rPr>
        <w:t>Működési pénzmaradvány</w:t>
      </w:r>
    </w:p>
    <w:p w14:paraId="12AC88FE" w14:textId="77777777" w:rsidR="00981DC7" w:rsidRPr="0036788C" w:rsidRDefault="00981DC7" w:rsidP="00981DC7">
      <w:pPr>
        <w:tabs>
          <w:tab w:val="left" w:pos="6750"/>
        </w:tabs>
        <w:jc w:val="both"/>
        <w:rPr>
          <w:i/>
          <w:iCs/>
          <w:sz w:val="24"/>
          <w:szCs w:val="24"/>
        </w:rPr>
      </w:pPr>
    </w:p>
    <w:p w14:paraId="001038F1" w14:textId="77777777" w:rsidR="00981DC7" w:rsidRPr="0036788C" w:rsidRDefault="00981DC7" w:rsidP="00981DC7">
      <w:pPr>
        <w:tabs>
          <w:tab w:val="left" w:pos="6750"/>
        </w:tabs>
        <w:jc w:val="both"/>
        <w:rPr>
          <w:i/>
          <w:iCs/>
          <w:sz w:val="24"/>
          <w:szCs w:val="24"/>
          <w:u w:val="single"/>
        </w:rPr>
      </w:pPr>
      <w:r w:rsidRPr="0036788C">
        <w:rPr>
          <w:iCs/>
          <w:sz w:val="24"/>
          <w:szCs w:val="24"/>
        </w:rPr>
        <w:t xml:space="preserve">A tervezett önkormányzati működési feladatok megvalósításához 2019. évre 76 899 247 Ft pénzmaradványt terveztünk, amely a számviteli elszámolási szabályoknak megfelelően – annak ellenére, hogy a kiadások egy része nem teljesült – teljes egészében igénybevételre került, így </w:t>
      </w:r>
      <w:r w:rsidRPr="0036788C">
        <w:rPr>
          <w:iCs/>
          <w:sz w:val="24"/>
          <w:szCs w:val="24"/>
          <w:u w:val="single"/>
        </w:rPr>
        <w:t>az elmaradt, illetve áthúzódó feladatok forrása tárgyévi maradványként jelentkezik.</w:t>
      </w:r>
    </w:p>
    <w:p w14:paraId="09651FAA" w14:textId="77777777" w:rsidR="00981DC7" w:rsidRPr="0036788C" w:rsidRDefault="00981DC7" w:rsidP="00981DC7">
      <w:pPr>
        <w:tabs>
          <w:tab w:val="left" w:pos="6750"/>
        </w:tabs>
        <w:jc w:val="both"/>
        <w:rPr>
          <w:i/>
          <w:iCs/>
          <w:sz w:val="24"/>
          <w:szCs w:val="24"/>
        </w:rPr>
      </w:pPr>
    </w:p>
    <w:p w14:paraId="077C7363" w14:textId="77777777" w:rsidR="00981DC7" w:rsidRPr="0036788C" w:rsidRDefault="00981DC7" w:rsidP="00981DC7">
      <w:pPr>
        <w:tabs>
          <w:tab w:val="left" w:pos="6750"/>
        </w:tabs>
        <w:jc w:val="both"/>
        <w:rPr>
          <w:i/>
          <w:iCs/>
          <w:sz w:val="24"/>
          <w:szCs w:val="24"/>
        </w:rPr>
      </w:pPr>
      <w:r w:rsidRPr="0036788C">
        <w:rPr>
          <w:iCs/>
          <w:sz w:val="24"/>
          <w:szCs w:val="24"/>
        </w:rPr>
        <w:t>Összege évközben módosításra került, 64 361 760 Ft-ra, 12 537 487 Ft a felhalmozási pénzmaradványhoz került átcsoportosításra a megnövekedett beruházási feladatok finanszírozására.</w:t>
      </w:r>
    </w:p>
    <w:p w14:paraId="4C6347B1" w14:textId="77777777" w:rsidR="00981DC7" w:rsidRPr="0036788C" w:rsidRDefault="00981DC7" w:rsidP="00981DC7">
      <w:pPr>
        <w:tabs>
          <w:tab w:val="left" w:pos="6750"/>
        </w:tabs>
        <w:jc w:val="both"/>
        <w:rPr>
          <w:i/>
          <w:iCs/>
          <w:sz w:val="24"/>
          <w:szCs w:val="24"/>
          <w:u w:val="single"/>
        </w:rPr>
      </w:pPr>
    </w:p>
    <w:p w14:paraId="17C237D3" w14:textId="77777777" w:rsidR="00981DC7" w:rsidRPr="0036788C" w:rsidRDefault="00981DC7" w:rsidP="00981DC7">
      <w:pPr>
        <w:tabs>
          <w:tab w:val="left" w:pos="6750"/>
        </w:tabs>
        <w:jc w:val="both"/>
        <w:rPr>
          <w:b/>
          <w:bCs/>
          <w:i/>
          <w:iCs/>
          <w:sz w:val="24"/>
          <w:szCs w:val="24"/>
        </w:rPr>
      </w:pPr>
      <w:r w:rsidRPr="0036788C">
        <w:rPr>
          <w:b/>
          <w:bCs/>
          <w:iCs/>
          <w:sz w:val="24"/>
          <w:szCs w:val="24"/>
        </w:rPr>
        <w:t>Felhalmozási bevételek</w:t>
      </w:r>
    </w:p>
    <w:p w14:paraId="10E457D9" w14:textId="77777777" w:rsidR="00981DC7" w:rsidRPr="0036788C" w:rsidRDefault="00981DC7" w:rsidP="00981DC7">
      <w:pPr>
        <w:tabs>
          <w:tab w:val="left" w:pos="6750"/>
        </w:tabs>
        <w:jc w:val="both"/>
        <w:rPr>
          <w:b/>
          <w:bCs/>
          <w:i/>
          <w:iCs/>
          <w:sz w:val="24"/>
          <w:szCs w:val="24"/>
          <w:highlight w:val="yellow"/>
        </w:rPr>
      </w:pPr>
    </w:p>
    <w:p w14:paraId="230ACA2B" w14:textId="77777777" w:rsidR="00981DC7" w:rsidRPr="0036788C" w:rsidRDefault="00981DC7" w:rsidP="00981DC7">
      <w:pPr>
        <w:tabs>
          <w:tab w:val="left" w:pos="6750"/>
        </w:tabs>
        <w:jc w:val="both"/>
        <w:rPr>
          <w:i/>
          <w:iCs/>
          <w:sz w:val="24"/>
          <w:szCs w:val="24"/>
        </w:rPr>
      </w:pPr>
      <w:r w:rsidRPr="0036788C">
        <w:rPr>
          <w:iCs/>
          <w:sz w:val="24"/>
          <w:szCs w:val="24"/>
        </w:rPr>
        <w:t>A 2019. évre tervezett 89 579 722 Ft felhalmozási bevételből az év során 175 627 322 Ft realizálódott, köszönhető az évközi pályázati forrásoknak.</w:t>
      </w:r>
    </w:p>
    <w:p w14:paraId="6FFA9F25" w14:textId="77777777" w:rsidR="00981DC7" w:rsidRPr="0036788C" w:rsidRDefault="00981DC7" w:rsidP="00981DC7">
      <w:pPr>
        <w:tabs>
          <w:tab w:val="left" w:pos="6750"/>
        </w:tabs>
        <w:jc w:val="both"/>
        <w:rPr>
          <w:i/>
          <w:iCs/>
          <w:sz w:val="24"/>
          <w:szCs w:val="24"/>
        </w:rPr>
      </w:pPr>
      <w:r w:rsidRPr="0036788C">
        <w:rPr>
          <w:iCs/>
          <w:sz w:val="24"/>
          <w:szCs w:val="24"/>
        </w:rPr>
        <w:t>A bevételek a 4-5. mellékletekben jelennek meg.</w:t>
      </w:r>
    </w:p>
    <w:p w14:paraId="7CB8523D" w14:textId="77777777" w:rsidR="00981DC7" w:rsidRPr="0036788C" w:rsidRDefault="00981DC7" w:rsidP="00981DC7">
      <w:pPr>
        <w:tabs>
          <w:tab w:val="left" w:pos="6750"/>
        </w:tabs>
        <w:jc w:val="both"/>
        <w:rPr>
          <w:i/>
          <w:iCs/>
          <w:sz w:val="24"/>
          <w:szCs w:val="24"/>
          <w:u w:val="single"/>
        </w:rPr>
      </w:pPr>
    </w:p>
    <w:p w14:paraId="4637DB7B" w14:textId="77777777" w:rsidR="00981DC7" w:rsidRPr="0036788C" w:rsidRDefault="00981DC7" w:rsidP="00981DC7">
      <w:pPr>
        <w:tabs>
          <w:tab w:val="left" w:pos="6750"/>
        </w:tabs>
        <w:jc w:val="both"/>
        <w:rPr>
          <w:i/>
          <w:iCs/>
          <w:sz w:val="24"/>
          <w:szCs w:val="24"/>
          <w:u w:val="single"/>
        </w:rPr>
      </w:pPr>
      <w:r w:rsidRPr="0036788C">
        <w:rPr>
          <w:iCs/>
          <w:sz w:val="24"/>
          <w:szCs w:val="24"/>
          <w:u w:val="single"/>
        </w:rPr>
        <w:t>Felhalmozási maradvány</w:t>
      </w:r>
    </w:p>
    <w:p w14:paraId="67EBD81F" w14:textId="77777777" w:rsidR="00981DC7" w:rsidRPr="0036788C" w:rsidRDefault="00981DC7" w:rsidP="00981DC7">
      <w:pPr>
        <w:tabs>
          <w:tab w:val="left" w:pos="6750"/>
        </w:tabs>
        <w:jc w:val="both"/>
        <w:rPr>
          <w:i/>
          <w:iCs/>
          <w:sz w:val="24"/>
          <w:szCs w:val="24"/>
          <w:u w:val="single"/>
        </w:rPr>
      </w:pPr>
    </w:p>
    <w:p w14:paraId="5DCF0051" w14:textId="77777777" w:rsidR="00981DC7" w:rsidRPr="0036788C" w:rsidRDefault="00981DC7" w:rsidP="00981DC7">
      <w:pPr>
        <w:tabs>
          <w:tab w:val="left" w:pos="6750"/>
        </w:tabs>
        <w:jc w:val="both"/>
        <w:rPr>
          <w:i/>
          <w:iCs/>
          <w:sz w:val="24"/>
          <w:szCs w:val="24"/>
        </w:rPr>
      </w:pPr>
      <w:r w:rsidRPr="0036788C">
        <w:rPr>
          <w:iCs/>
          <w:sz w:val="24"/>
          <w:szCs w:val="24"/>
        </w:rPr>
        <w:t xml:space="preserve">A 2019. évre tervezett fejlesztési feladatok megvalósításához </w:t>
      </w:r>
      <w:r w:rsidRPr="0036788C">
        <w:rPr>
          <w:b/>
          <w:bCs/>
          <w:iCs/>
          <w:sz w:val="24"/>
          <w:szCs w:val="24"/>
        </w:rPr>
        <w:t>79 779 722 Ft fejlesztési pénzmaradvánnyal</w:t>
      </w:r>
      <w:r w:rsidRPr="0036788C">
        <w:rPr>
          <w:iCs/>
          <w:sz w:val="24"/>
          <w:szCs w:val="24"/>
        </w:rPr>
        <w:t xml:space="preserve"> számolhattunk, melynek egy része az előlegként megkapott fejlesztési támogatásokból származott. </w:t>
      </w:r>
    </w:p>
    <w:p w14:paraId="694C0235" w14:textId="77777777" w:rsidR="00981DC7" w:rsidRPr="0036788C" w:rsidRDefault="00981DC7" w:rsidP="00981DC7">
      <w:pPr>
        <w:tabs>
          <w:tab w:val="left" w:pos="6750"/>
        </w:tabs>
        <w:jc w:val="both"/>
        <w:rPr>
          <w:i/>
          <w:iCs/>
          <w:sz w:val="24"/>
          <w:szCs w:val="24"/>
        </w:rPr>
      </w:pPr>
      <w:r w:rsidRPr="0036788C">
        <w:rPr>
          <w:iCs/>
          <w:sz w:val="24"/>
          <w:szCs w:val="24"/>
        </w:rPr>
        <w:t>A pénzmaradvány igénybevételének elszámolása – a működési maradványnál említettek miatt – teljes egészében megtörtént, így az áthúzódó fejlesztési feladatok forrása tárgyévi maradványként jelentkezik.</w:t>
      </w:r>
    </w:p>
    <w:p w14:paraId="23FDA2D7" w14:textId="77777777" w:rsidR="00981DC7" w:rsidRPr="0036788C" w:rsidRDefault="00981DC7" w:rsidP="00981DC7">
      <w:pPr>
        <w:jc w:val="center"/>
        <w:rPr>
          <w:b/>
          <w:bCs/>
          <w:i/>
          <w:iCs/>
          <w:sz w:val="24"/>
          <w:szCs w:val="24"/>
        </w:rPr>
      </w:pPr>
    </w:p>
    <w:p w14:paraId="545CE80C" w14:textId="77777777" w:rsidR="00981DC7" w:rsidRPr="0036788C" w:rsidRDefault="00981DC7" w:rsidP="00981DC7">
      <w:pPr>
        <w:jc w:val="center"/>
        <w:rPr>
          <w:b/>
          <w:bCs/>
          <w:i/>
          <w:iCs/>
          <w:sz w:val="24"/>
          <w:szCs w:val="24"/>
        </w:rPr>
      </w:pPr>
      <w:r w:rsidRPr="0036788C">
        <w:rPr>
          <w:b/>
          <w:bCs/>
          <w:iCs/>
          <w:sz w:val="24"/>
          <w:szCs w:val="24"/>
        </w:rPr>
        <w:t>Költségvetési kiadások</w:t>
      </w:r>
    </w:p>
    <w:p w14:paraId="0B3EFB50" w14:textId="77777777" w:rsidR="00981DC7" w:rsidRPr="0036788C" w:rsidRDefault="00981DC7" w:rsidP="00981DC7">
      <w:pPr>
        <w:jc w:val="both"/>
        <w:rPr>
          <w:i/>
          <w:iCs/>
          <w:sz w:val="24"/>
          <w:szCs w:val="24"/>
        </w:rPr>
      </w:pPr>
    </w:p>
    <w:p w14:paraId="0A3BF592" w14:textId="77777777" w:rsidR="00981DC7" w:rsidRPr="0036788C" w:rsidRDefault="00981DC7" w:rsidP="00981DC7">
      <w:pPr>
        <w:jc w:val="both"/>
        <w:rPr>
          <w:i/>
          <w:iCs/>
          <w:sz w:val="24"/>
          <w:szCs w:val="24"/>
        </w:rPr>
      </w:pPr>
      <w:r w:rsidRPr="0036788C">
        <w:rPr>
          <w:iCs/>
          <w:sz w:val="24"/>
          <w:szCs w:val="24"/>
        </w:rPr>
        <w:t xml:space="preserve">Az önkormányzat 2019. évi gazdálkodása során </w:t>
      </w:r>
      <w:r w:rsidRPr="0036788C">
        <w:rPr>
          <w:b/>
          <w:bCs/>
          <w:iCs/>
          <w:sz w:val="24"/>
          <w:szCs w:val="24"/>
        </w:rPr>
        <w:t>393 560 261 Ft kiadást</w:t>
      </w:r>
      <w:r w:rsidRPr="0036788C">
        <w:rPr>
          <w:iCs/>
          <w:sz w:val="24"/>
          <w:szCs w:val="24"/>
        </w:rPr>
        <w:t xml:space="preserve"> </w:t>
      </w:r>
      <w:r w:rsidRPr="0036788C">
        <w:rPr>
          <w:b/>
          <w:bCs/>
          <w:iCs/>
          <w:sz w:val="24"/>
          <w:szCs w:val="24"/>
        </w:rPr>
        <w:t>teljesített</w:t>
      </w:r>
      <w:r w:rsidRPr="0036788C">
        <w:rPr>
          <w:iCs/>
          <w:sz w:val="24"/>
          <w:szCs w:val="24"/>
        </w:rPr>
        <w:t>. Ezen belül, a működési kiadások összege 278 711 742 Ft volt, míg a tervezett fejlesztésre 110 198 832 Ft-ot fordítottunk.</w:t>
      </w:r>
    </w:p>
    <w:p w14:paraId="39489CC9" w14:textId="77777777" w:rsidR="00981DC7" w:rsidRPr="0036788C" w:rsidRDefault="00981DC7" w:rsidP="00981DC7">
      <w:pPr>
        <w:jc w:val="both"/>
        <w:rPr>
          <w:i/>
          <w:iCs/>
          <w:sz w:val="24"/>
          <w:szCs w:val="24"/>
        </w:rPr>
      </w:pPr>
    </w:p>
    <w:p w14:paraId="31B38E15" w14:textId="77777777" w:rsidR="00981DC7" w:rsidRPr="0036788C" w:rsidRDefault="00981DC7" w:rsidP="00981DC7">
      <w:pPr>
        <w:jc w:val="both"/>
        <w:rPr>
          <w:i/>
          <w:iCs/>
          <w:sz w:val="24"/>
          <w:szCs w:val="24"/>
        </w:rPr>
      </w:pPr>
      <w:r w:rsidRPr="0036788C">
        <w:rPr>
          <w:iCs/>
          <w:sz w:val="24"/>
          <w:szCs w:val="24"/>
        </w:rPr>
        <w:t>A teljesítési adatok előirányzattól való elmaradását jelentősen befolyásolta, hogy az összességében közel 84 M Ft-ban tervezett tartalék keret nem került felhasználásra.</w:t>
      </w:r>
    </w:p>
    <w:p w14:paraId="505E84E8" w14:textId="77777777" w:rsidR="00981DC7" w:rsidRPr="0036788C" w:rsidRDefault="00981DC7" w:rsidP="00981DC7">
      <w:pPr>
        <w:jc w:val="both"/>
        <w:rPr>
          <w:i/>
          <w:iCs/>
          <w:sz w:val="24"/>
          <w:szCs w:val="24"/>
        </w:rPr>
      </w:pPr>
    </w:p>
    <w:p w14:paraId="551DAAD8" w14:textId="77777777" w:rsidR="00981DC7" w:rsidRPr="0036788C" w:rsidRDefault="00981DC7" w:rsidP="00981DC7">
      <w:pPr>
        <w:jc w:val="both"/>
        <w:rPr>
          <w:i/>
          <w:iCs/>
          <w:sz w:val="24"/>
          <w:szCs w:val="24"/>
        </w:rPr>
      </w:pPr>
      <w:r w:rsidRPr="0036788C">
        <w:rPr>
          <w:iCs/>
          <w:sz w:val="24"/>
          <w:szCs w:val="24"/>
        </w:rPr>
        <w:t>A kiadások összetételét az alábbi grafikon mutatja:</w:t>
      </w:r>
    </w:p>
    <w:p w14:paraId="6E301641" w14:textId="77777777" w:rsidR="00981DC7" w:rsidRPr="0036788C" w:rsidRDefault="00981DC7" w:rsidP="00981DC7">
      <w:pPr>
        <w:jc w:val="both"/>
        <w:rPr>
          <w:i/>
          <w:iCs/>
          <w:sz w:val="24"/>
          <w:szCs w:val="24"/>
        </w:rPr>
      </w:pPr>
      <w:r w:rsidRPr="0036788C">
        <w:rPr>
          <w:i/>
          <w:iCs/>
          <w:noProof/>
          <w:sz w:val="24"/>
          <w:szCs w:val="24"/>
        </w:rPr>
        <w:lastRenderedPageBreak/>
        <w:drawing>
          <wp:inline distT="0" distB="0" distL="0" distR="0" wp14:anchorId="6F1681B1" wp14:editId="4D7A5C9C">
            <wp:extent cx="5400675" cy="3381375"/>
            <wp:effectExtent l="0" t="0" r="9525" b="9525"/>
            <wp:docPr id="3" name="Diagram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45D2AA22" w14:textId="77777777" w:rsidR="00981DC7" w:rsidRPr="0036788C" w:rsidRDefault="00981DC7" w:rsidP="00981DC7">
      <w:pPr>
        <w:jc w:val="both"/>
        <w:rPr>
          <w:i/>
          <w:iCs/>
          <w:noProof/>
          <w:sz w:val="24"/>
          <w:szCs w:val="24"/>
        </w:rPr>
      </w:pPr>
    </w:p>
    <w:p w14:paraId="3DD5B132" w14:textId="77777777" w:rsidR="00981DC7" w:rsidRPr="0036788C" w:rsidRDefault="00981DC7" w:rsidP="00981DC7">
      <w:pPr>
        <w:jc w:val="both"/>
        <w:rPr>
          <w:b/>
          <w:bCs/>
          <w:i/>
          <w:iCs/>
          <w:sz w:val="24"/>
          <w:szCs w:val="24"/>
        </w:rPr>
      </w:pPr>
    </w:p>
    <w:p w14:paraId="49FB92A5" w14:textId="77777777" w:rsidR="00981DC7" w:rsidRPr="0036788C" w:rsidRDefault="00981DC7" w:rsidP="00981DC7">
      <w:pPr>
        <w:jc w:val="both"/>
        <w:rPr>
          <w:b/>
          <w:bCs/>
          <w:i/>
          <w:iCs/>
          <w:sz w:val="24"/>
          <w:szCs w:val="24"/>
        </w:rPr>
      </w:pPr>
      <w:r w:rsidRPr="0036788C">
        <w:rPr>
          <w:b/>
          <w:bCs/>
          <w:iCs/>
          <w:sz w:val="24"/>
          <w:szCs w:val="24"/>
        </w:rPr>
        <w:t>Működési kiadások</w:t>
      </w:r>
    </w:p>
    <w:p w14:paraId="5335A8B8" w14:textId="77777777" w:rsidR="00981DC7" w:rsidRPr="0036788C" w:rsidRDefault="00981DC7" w:rsidP="00981DC7">
      <w:pPr>
        <w:jc w:val="both"/>
        <w:rPr>
          <w:b/>
          <w:bCs/>
          <w:i/>
          <w:iCs/>
          <w:sz w:val="24"/>
          <w:szCs w:val="24"/>
        </w:rPr>
      </w:pPr>
    </w:p>
    <w:p w14:paraId="4C968072" w14:textId="77777777" w:rsidR="00981DC7" w:rsidRPr="0036788C" w:rsidRDefault="00981DC7" w:rsidP="00981DC7">
      <w:pPr>
        <w:jc w:val="both"/>
        <w:rPr>
          <w:i/>
          <w:iCs/>
          <w:sz w:val="24"/>
          <w:szCs w:val="24"/>
          <w:u w:val="single"/>
        </w:rPr>
      </w:pPr>
      <w:r w:rsidRPr="0036788C">
        <w:rPr>
          <w:iCs/>
          <w:sz w:val="24"/>
          <w:szCs w:val="24"/>
          <w:u w:val="single"/>
        </w:rPr>
        <w:t>Működési kiadások</w:t>
      </w:r>
    </w:p>
    <w:p w14:paraId="44CA7AF1" w14:textId="77777777" w:rsidR="00981DC7" w:rsidRPr="0036788C" w:rsidRDefault="00981DC7" w:rsidP="00981DC7">
      <w:pPr>
        <w:jc w:val="both"/>
        <w:rPr>
          <w:i/>
          <w:iCs/>
          <w:sz w:val="24"/>
          <w:szCs w:val="24"/>
        </w:rPr>
      </w:pPr>
      <w:r w:rsidRPr="0036788C">
        <w:rPr>
          <w:iCs/>
          <w:sz w:val="24"/>
          <w:szCs w:val="24"/>
        </w:rPr>
        <w:t xml:space="preserve">A működési kiadások 49,24 %-a </w:t>
      </w:r>
      <w:r w:rsidRPr="0036788C">
        <w:rPr>
          <w:b/>
          <w:bCs/>
          <w:iCs/>
          <w:sz w:val="24"/>
          <w:szCs w:val="24"/>
        </w:rPr>
        <w:t>137 231 304 Ft összegben az intézményeknél</w:t>
      </w:r>
      <w:r w:rsidRPr="0036788C">
        <w:rPr>
          <w:iCs/>
          <w:sz w:val="24"/>
          <w:szCs w:val="24"/>
        </w:rPr>
        <w:t xml:space="preserve"> realizálódott. </w:t>
      </w:r>
    </w:p>
    <w:p w14:paraId="26DB4E1D" w14:textId="77777777" w:rsidR="00981DC7" w:rsidRPr="0036788C" w:rsidRDefault="00981DC7" w:rsidP="00981DC7">
      <w:pPr>
        <w:jc w:val="both"/>
        <w:rPr>
          <w:i/>
          <w:iCs/>
          <w:sz w:val="24"/>
          <w:szCs w:val="24"/>
        </w:rPr>
      </w:pPr>
    </w:p>
    <w:p w14:paraId="46506ADA" w14:textId="77777777" w:rsidR="00981DC7" w:rsidRPr="0036788C" w:rsidRDefault="00981DC7" w:rsidP="00981DC7">
      <w:pPr>
        <w:jc w:val="both"/>
        <w:rPr>
          <w:i/>
          <w:iCs/>
          <w:sz w:val="24"/>
          <w:szCs w:val="24"/>
        </w:rPr>
      </w:pPr>
      <w:r w:rsidRPr="0036788C">
        <w:rPr>
          <w:iCs/>
          <w:sz w:val="24"/>
          <w:szCs w:val="24"/>
          <w:u w:val="single"/>
        </w:rPr>
        <w:t>Az intézmények 2019. évi gazdálkodása takarékos és körültekintő volt, a finanszírozás és az előirányzatok felhasználása a feladat ellátáshoz igazodott</w:t>
      </w:r>
      <w:r w:rsidRPr="0036788C">
        <w:rPr>
          <w:iCs/>
          <w:sz w:val="24"/>
          <w:szCs w:val="24"/>
        </w:rPr>
        <w:t xml:space="preserve">. </w:t>
      </w:r>
    </w:p>
    <w:p w14:paraId="16200F81" w14:textId="77777777" w:rsidR="00981DC7" w:rsidRPr="0036788C" w:rsidRDefault="00981DC7" w:rsidP="00981DC7">
      <w:pPr>
        <w:jc w:val="both"/>
        <w:rPr>
          <w:i/>
          <w:iCs/>
          <w:sz w:val="24"/>
          <w:szCs w:val="24"/>
        </w:rPr>
      </w:pPr>
    </w:p>
    <w:p w14:paraId="66FF8753" w14:textId="77777777" w:rsidR="00981DC7" w:rsidRPr="0036788C" w:rsidRDefault="00981DC7" w:rsidP="00981DC7">
      <w:pPr>
        <w:jc w:val="both"/>
        <w:rPr>
          <w:i/>
          <w:iCs/>
          <w:sz w:val="24"/>
          <w:szCs w:val="24"/>
        </w:rPr>
      </w:pPr>
      <w:r w:rsidRPr="0036788C">
        <w:rPr>
          <w:iCs/>
          <w:sz w:val="24"/>
          <w:szCs w:val="24"/>
        </w:rPr>
        <w:t>Az intézmények feladata és struktúrája nem változott.</w:t>
      </w:r>
    </w:p>
    <w:p w14:paraId="73F77595" w14:textId="77777777" w:rsidR="00981DC7" w:rsidRPr="0036788C" w:rsidRDefault="00981DC7" w:rsidP="00981DC7">
      <w:pPr>
        <w:jc w:val="both"/>
        <w:rPr>
          <w:i/>
          <w:iCs/>
          <w:sz w:val="24"/>
          <w:szCs w:val="24"/>
        </w:rPr>
      </w:pPr>
    </w:p>
    <w:p w14:paraId="7766CDAF" w14:textId="77777777" w:rsidR="00981DC7" w:rsidRPr="0036788C" w:rsidRDefault="00981DC7" w:rsidP="00981DC7">
      <w:pPr>
        <w:jc w:val="both"/>
        <w:rPr>
          <w:i/>
          <w:iCs/>
          <w:sz w:val="24"/>
          <w:szCs w:val="24"/>
        </w:rPr>
      </w:pPr>
      <w:r w:rsidRPr="0036788C">
        <w:rPr>
          <w:iCs/>
          <w:sz w:val="24"/>
          <w:szCs w:val="24"/>
        </w:rPr>
        <w:t xml:space="preserve">A </w:t>
      </w:r>
      <w:r w:rsidRPr="0036788C">
        <w:rPr>
          <w:iCs/>
          <w:sz w:val="24"/>
          <w:szCs w:val="24"/>
          <w:u w:val="single"/>
        </w:rPr>
        <w:t>személyi juttatások és járulékok</w:t>
      </w:r>
      <w:r w:rsidRPr="0036788C">
        <w:rPr>
          <w:iCs/>
          <w:sz w:val="24"/>
          <w:szCs w:val="24"/>
        </w:rPr>
        <w:t xml:space="preserve"> előirányzatánál 89,49 %-os a teljesülés.</w:t>
      </w:r>
    </w:p>
    <w:p w14:paraId="3DEDBCD1" w14:textId="77777777" w:rsidR="00981DC7" w:rsidRPr="0036788C" w:rsidRDefault="00981DC7" w:rsidP="00981DC7">
      <w:pPr>
        <w:jc w:val="both"/>
        <w:rPr>
          <w:i/>
          <w:iCs/>
          <w:sz w:val="24"/>
          <w:szCs w:val="24"/>
        </w:rPr>
      </w:pPr>
    </w:p>
    <w:p w14:paraId="64717CB5" w14:textId="77777777" w:rsidR="00981DC7" w:rsidRPr="0036788C" w:rsidRDefault="00981DC7" w:rsidP="00981DC7">
      <w:pPr>
        <w:jc w:val="both"/>
        <w:rPr>
          <w:i/>
          <w:iCs/>
          <w:sz w:val="24"/>
          <w:szCs w:val="24"/>
        </w:rPr>
      </w:pPr>
      <w:r w:rsidRPr="0036788C">
        <w:rPr>
          <w:iCs/>
          <w:sz w:val="24"/>
          <w:szCs w:val="24"/>
        </w:rPr>
        <w:t>A dologi kiadások teljesülése 77,65 %, itt jelentős a megtakarítás, mely részben betudható az energetikai korszerűsítéseknek is (napelemek felszerelése).</w:t>
      </w:r>
    </w:p>
    <w:p w14:paraId="70CA2356" w14:textId="77777777" w:rsidR="00981DC7" w:rsidRPr="0036788C" w:rsidRDefault="00981DC7" w:rsidP="00981DC7">
      <w:pPr>
        <w:jc w:val="both"/>
        <w:rPr>
          <w:i/>
          <w:iCs/>
          <w:sz w:val="24"/>
          <w:szCs w:val="24"/>
        </w:rPr>
      </w:pPr>
    </w:p>
    <w:p w14:paraId="15BA968D" w14:textId="77777777" w:rsidR="00981DC7" w:rsidRPr="0036788C" w:rsidRDefault="00981DC7" w:rsidP="00981DC7">
      <w:pPr>
        <w:jc w:val="both"/>
        <w:rPr>
          <w:i/>
          <w:iCs/>
          <w:sz w:val="24"/>
          <w:szCs w:val="24"/>
        </w:rPr>
      </w:pPr>
      <w:r w:rsidRPr="0036788C">
        <w:rPr>
          <w:iCs/>
          <w:sz w:val="24"/>
          <w:szCs w:val="24"/>
          <w:u w:val="single"/>
        </w:rPr>
        <w:t xml:space="preserve">Támogatások, pénzeszköz </w:t>
      </w:r>
      <w:proofErr w:type="gramStart"/>
      <w:r w:rsidRPr="0036788C">
        <w:rPr>
          <w:iCs/>
          <w:sz w:val="24"/>
          <w:szCs w:val="24"/>
          <w:u w:val="single"/>
        </w:rPr>
        <w:t xml:space="preserve">átadások </w:t>
      </w:r>
      <w:r w:rsidRPr="0036788C">
        <w:rPr>
          <w:iCs/>
          <w:sz w:val="24"/>
          <w:szCs w:val="24"/>
        </w:rPr>
        <w:t xml:space="preserve"> felsorolását</w:t>
      </w:r>
      <w:proofErr w:type="gramEnd"/>
      <w:r w:rsidRPr="0036788C">
        <w:rPr>
          <w:iCs/>
          <w:sz w:val="24"/>
          <w:szCs w:val="24"/>
        </w:rPr>
        <w:t xml:space="preserve"> a 10-11. számú melléklet tartalmazza.</w:t>
      </w:r>
    </w:p>
    <w:p w14:paraId="322E5FE3" w14:textId="77777777" w:rsidR="00981DC7" w:rsidRPr="0036788C" w:rsidRDefault="00981DC7" w:rsidP="00981DC7">
      <w:pPr>
        <w:jc w:val="both"/>
        <w:rPr>
          <w:i/>
          <w:iCs/>
          <w:sz w:val="24"/>
          <w:szCs w:val="24"/>
        </w:rPr>
      </w:pPr>
      <w:r w:rsidRPr="0036788C">
        <w:rPr>
          <w:iCs/>
          <w:sz w:val="24"/>
          <w:szCs w:val="24"/>
        </w:rPr>
        <w:t xml:space="preserve">A szociális célú támogatásoknál az önkormányzat saját hatáskörben megállapított támogatásai szerepelnek, valamint a téli rezsicsökkentéshez kapcsolódó juttattatás. </w:t>
      </w:r>
    </w:p>
    <w:p w14:paraId="382157F0" w14:textId="77777777" w:rsidR="00981DC7" w:rsidRPr="0036788C" w:rsidRDefault="00981DC7" w:rsidP="00981DC7">
      <w:pPr>
        <w:jc w:val="both"/>
        <w:rPr>
          <w:i/>
          <w:iCs/>
          <w:sz w:val="24"/>
          <w:szCs w:val="24"/>
        </w:rPr>
      </w:pPr>
    </w:p>
    <w:p w14:paraId="72376F2C" w14:textId="77777777" w:rsidR="00981DC7" w:rsidRPr="0036788C" w:rsidRDefault="00981DC7" w:rsidP="00981DC7">
      <w:pPr>
        <w:tabs>
          <w:tab w:val="left" w:pos="6750"/>
        </w:tabs>
        <w:jc w:val="both"/>
        <w:rPr>
          <w:i/>
          <w:iCs/>
          <w:sz w:val="24"/>
          <w:szCs w:val="24"/>
          <w:u w:val="single"/>
        </w:rPr>
      </w:pPr>
      <w:r w:rsidRPr="0036788C">
        <w:rPr>
          <w:iCs/>
          <w:sz w:val="24"/>
          <w:szCs w:val="24"/>
          <w:u w:val="single"/>
        </w:rPr>
        <w:t>Hitelműveletek</w:t>
      </w:r>
    </w:p>
    <w:p w14:paraId="53B0D4C8" w14:textId="77777777" w:rsidR="00981DC7" w:rsidRPr="0036788C" w:rsidRDefault="00981DC7" w:rsidP="00981DC7">
      <w:pPr>
        <w:tabs>
          <w:tab w:val="left" w:pos="6750"/>
        </w:tabs>
        <w:jc w:val="both"/>
        <w:rPr>
          <w:i/>
          <w:iCs/>
          <w:sz w:val="24"/>
          <w:szCs w:val="24"/>
          <w:u w:val="single"/>
        </w:rPr>
      </w:pPr>
    </w:p>
    <w:p w14:paraId="41DFE8C7" w14:textId="77777777" w:rsidR="00981DC7" w:rsidRPr="0036788C" w:rsidRDefault="00981DC7" w:rsidP="00981DC7">
      <w:pPr>
        <w:tabs>
          <w:tab w:val="left" w:pos="6750"/>
        </w:tabs>
        <w:jc w:val="both"/>
        <w:rPr>
          <w:i/>
          <w:iCs/>
          <w:sz w:val="24"/>
          <w:szCs w:val="24"/>
          <w:u w:val="single"/>
        </w:rPr>
      </w:pPr>
      <w:r w:rsidRPr="0036788C">
        <w:rPr>
          <w:iCs/>
          <w:sz w:val="24"/>
          <w:szCs w:val="24"/>
        </w:rPr>
        <w:t>Az önkormányzatnak működési hitele nem volt.</w:t>
      </w:r>
    </w:p>
    <w:p w14:paraId="45F1F841" w14:textId="77777777" w:rsidR="00981DC7" w:rsidRPr="0036788C" w:rsidRDefault="00981DC7" w:rsidP="00981DC7">
      <w:pPr>
        <w:jc w:val="both"/>
        <w:rPr>
          <w:i/>
          <w:iCs/>
          <w:sz w:val="24"/>
          <w:szCs w:val="24"/>
        </w:rPr>
      </w:pPr>
    </w:p>
    <w:p w14:paraId="6ECDA6E8" w14:textId="77777777" w:rsidR="00981DC7" w:rsidRPr="0036788C" w:rsidRDefault="00981DC7" w:rsidP="00981DC7">
      <w:pPr>
        <w:jc w:val="both"/>
        <w:rPr>
          <w:b/>
          <w:bCs/>
          <w:i/>
          <w:iCs/>
          <w:sz w:val="24"/>
          <w:szCs w:val="24"/>
        </w:rPr>
      </w:pPr>
      <w:r w:rsidRPr="0036788C">
        <w:rPr>
          <w:b/>
          <w:bCs/>
          <w:iCs/>
          <w:sz w:val="24"/>
          <w:szCs w:val="24"/>
        </w:rPr>
        <w:t xml:space="preserve">Összességében elmondható, hogy az önkormányzat működési feladatait úgy látta el, hogy annak eredményeképpen jelentős maradványa keletkezett, ami megalapozza a következő évi költségvetési gazdálkodás stabilitását, az esetleges </w:t>
      </w:r>
      <w:proofErr w:type="gramStart"/>
      <w:r w:rsidRPr="0036788C">
        <w:rPr>
          <w:b/>
          <w:bCs/>
          <w:iCs/>
          <w:sz w:val="24"/>
          <w:szCs w:val="24"/>
        </w:rPr>
        <w:t>bevételkiesés</w:t>
      </w:r>
      <w:proofErr w:type="gramEnd"/>
      <w:r w:rsidRPr="0036788C">
        <w:rPr>
          <w:b/>
          <w:bCs/>
          <w:iCs/>
          <w:sz w:val="24"/>
          <w:szCs w:val="24"/>
        </w:rPr>
        <w:t xml:space="preserve"> illetve </w:t>
      </w:r>
      <w:proofErr w:type="spellStart"/>
      <w:r w:rsidRPr="0036788C">
        <w:rPr>
          <w:b/>
          <w:bCs/>
          <w:iCs/>
          <w:sz w:val="24"/>
          <w:szCs w:val="24"/>
        </w:rPr>
        <w:t>vis</w:t>
      </w:r>
      <w:proofErr w:type="spellEnd"/>
      <w:r w:rsidRPr="0036788C">
        <w:rPr>
          <w:b/>
          <w:bCs/>
          <w:iCs/>
          <w:sz w:val="24"/>
          <w:szCs w:val="24"/>
        </w:rPr>
        <w:t xml:space="preserve"> maior helyzetek kezelhetőségét.</w:t>
      </w:r>
    </w:p>
    <w:p w14:paraId="6289158E" w14:textId="77777777" w:rsidR="00981DC7" w:rsidRPr="0036788C" w:rsidRDefault="00981DC7" w:rsidP="00981DC7">
      <w:pPr>
        <w:jc w:val="both"/>
        <w:rPr>
          <w:b/>
          <w:bCs/>
          <w:i/>
          <w:iCs/>
          <w:sz w:val="24"/>
          <w:szCs w:val="24"/>
        </w:rPr>
      </w:pPr>
    </w:p>
    <w:p w14:paraId="13D0B35B" w14:textId="77777777" w:rsidR="00981DC7" w:rsidRDefault="00981DC7" w:rsidP="00981DC7">
      <w:pPr>
        <w:jc w:val="both"/>
        <w:rPr>
          <w:b/>
          <w:bCs/>
          <w:iCs/>
          <w:sz w:val="24"/>
          <w:szCs w:val="24"/>
        </w:rPr>
      </w:pPr>
    </w:p>
    <w:p w14:paraId="400CCB6B" w14:textId="509589B5" w:rsidR="00981DC7" w:rsidRPr="0036788C" w:rsidRDefault="00981DC7" w:rsidP="00981DC7">
      <w:pPr>
        <w:jc w:val="both"/>
        <w:rPr>
          <w:b/>
          <w:bCs/>
          <w:i/>
          <w:iCs/>
          <w:sz w:val="24"/>
          <w:szCs w:val="24"/>
        </w:rPr>
      </w:pPr>
      <w:r w:rsidRPr="0036788C">
        <w:rPr>
          <w:b/>
          <w:bCs/>
          <w:iCs/>
          <w:sz w:val="24"/>
          <w:szCs w:val="24"/>
        </w:rPr>
        <w:lastRenderedPageBreak/>
        <w:t>Felhalmozási kiadások</w:t>
      </w:r>
    </w:p>
    <w:p w14:paraId="45E491C0" w14:textId="77777777" w:rsidR="00981DC7" w:rsidRPr="0036788C" w:rsidRDefault="00981DC7" w:rsidP="00981DC7">
      <w:pPr>
        <w:jc w:val="both"/>
        <w:rPr>
          <w:b/>
          <w:bCs/>
          <w:i/>
          <w:iCs/>
          <w:sz w:val="24"/>
          <w:szCs w:val="24"/>
        </w:rPr>
      </w:pPr>
    </w:p>
    <w:p w14:paraId="6CB85055" w14:textId="77777777" w:rsidR="00981DC7" w:rsidRPr="0036788C" w:rsidRDefault="00981DC7" w:rsidP="00981DC7">
      <w:pPr>
        <w:jc w:val="both"/>
        <w:rPr>
          <w:i/>
          <w:iCs/>
          <w:sz w:val="24"/>
          <w:szCs w:val="24"/>
        </w:rPr>
      </w:pPr>
      <w:r w:rsidRPr="0036788C">
        <w:rPr>
          <w:iCs/>
          <w:sz w:val="24"/>
          <w:szCs w:val="24"/>
        </w:rPr>
        <w:t xml:space="preserve">Az önkormányzat 2019-ban </w:t>
      </w:r>
      <w:r w:rsidRPr="0036788C">
        <w:rPr>
          <w:b/>
          <w:bCs/>
          <w:iCs/>
          <w:sz w:val="24"/>
          <w:szCs w:val="24"/>
        </w:rPr>
        <w:t>110 198 832 Ft felhalmozási kiadást számolt el</w:t>
      </w:r>
      <w:r w:rsidRPr="0036788C">
        <w:rPr>
          <w:iCs/>
          <w:sz w:val="24"/>
          <w:szCs w:val="24"/>
        </w:rPr>
        <w:t>. A fejlesztések tételes kimutatását a 12. és 13. számú melléklet tartalmazza.</w:t>
      </w:r>
    </w:p>
    <w:p w14:paraId="75EEC80F" w14:textId="77777777" w:rsidR="00981DC7" w:rsidRPr="0036788C" w:rsidRDefault="00981DC7" w:rsidP="00981DC7">
      <w:pPr>
        <w:jc w:val="both"/>
        <w:rPr>
          <w:i/>
          <w:iCs/>
          <w:sz w:val="24"/>
          <w:szCs w:val="24"/>
        </w:rPr>
      </w:pPr>
    </w:p>
    <w:p w14:paraId="647DD8F7" w14:textId="77777777" w:rsidR="00981DC7" w:rsidRPr="0036788C" w:rsidRDefault="00981DC7" w:rsidP="00981DC7">
      <w:pPr>
        <w:jc w:val="both"/>
        <w:rPr>
          <w:b/>
          <w:bCs/>
          <w:i/>
          <w:iCs/>
          <w:sz w:val="24"/>
          <w:szCs w:val="24"/>
        </w:rPr>
      </w:pPr>
      <w:r w:rsidRPr="0036788C">
        <w:rPr>
          <w:b/>
          <w:bCs/>
          <w:iCs/>
          <w:sz w:val="24"/>
          <w:szCs w:val="24"/>
        </w:rPr>
        <w:t>A 2019. évi fejlesztéseket döntő részben tárgyévben kapott, illetve pénzmaradványként rendelkezésre álló támogatás, egyéb külső forrás finanszírozta, így megvalósításuk jelentős vagyonnövekedést eredményezett.</w:t>
      </w:r>
    </w:p>
    <w:p w14:paraId="4AF95CC3" w14:textId="77777777" w:rsidR="00981DC7" w:rsidRPr="0036788C" w:rsidRDefault="00981DC7" w:rsidP="00981DC7">
      <w:pPr>
        <w:jc w:val="both"/>
        <w:rPr>
          <w:i/>
          <w:iCs/>
          <w:sz w:val="24"/>
          <w:szCs w:val="24"/>
        </w:rPr>
      </w:pPr>
    </w:p>
    <w:p w14:paraId="5B68874B" w14:textId="77777777" w:rsidR="00981DC7" w:rsidRPr="0036788C" w:rsidRDefault="00981DC7" w:rsidP="00981DC7">
      <w:pPr>
        <w:pStyle w:val="Cmsor1"/>
        <w:rPr>
          <w:iCs/>
        </w:rPr>
      </w:pPr>
      <w:r w:rsidRPr="0036788C">
        <w:rPr>
          <w:iCs/>
        </w:rPr>
        <w:t xml:space="preserve">A költségvetés finanszírozása, hitelműveletek </w:t>
      </w:r>
    </w:p>
    <w:p w14:paraId="541B3C02" w14:textId="77777777" w:rsidR="00981DC7" w:rsidRPr="0036788C" w:rsidRDefault="00981DC7" w:rsidP="00981DC7">
      <w:pPr>
        <w:rPr>
          <w:i/>
          <w:iCs/>
          <w:sz w:val="24"/>
          <w:szCs w:val="24"/>
        </w:rPr>
      </w:pPr>
    </w:p>
    <w:p w14:paraId="33DA0AEB" w14:textId="77777777" w:rsidR="00981DC7" w:rsidRPr="0036788C" w:rsidRDefault="00981DC7" w:rsidP="00981DC7">
      <w:pPr>
        <w:jc w:val="both"/>
        <w:rPr>
          <w:i/>
          <w:iCs/>
          <w:sz w:val="24"/>
          <w:szCs w:val="24"/>
        </w:rPr>
      </w:pPr>
      <w:r w:rsidRPr="0036788C">
        <w:rPr>
          <w:iCs/>
          <w:sz w:val="24"/>
          <w:szCs w:val="24"/>
        </w:rPr>
        <w:t>Az önkormányzatnak 2019. évben folyószámla hitelkerete nem volt.</w:t>
      </w:r>
    </w:p>
    <w:p w14:paraId="4EE1AC51" w14:textId="77777777" w:rsidR="00981DC7" w:rsidRPr="0036788C" w:rsidRDefault="00981DC7" w:rsidP="00981DC7">
      <w:pPr>
        <w:jc w:val="both"/>
        <w:rPr>
          <w:i/>
          <w:iCs/>
          <w:sz w:val="24"/>
          <w:szCs w:val="24"/>
        </w:rPr>
      </w:pPr>
    </w:p>
    <w:p w14:paraId="429C7C30" w14:textId="77777777" w:rsidR="00981DC7" w:rsidRPr="0036788C" w:rsidRDefault="00981DC7" w:rsidP="00981DC7">
      <w:pPr>
        <w:jc w:val="both"/>
        <w:rPr>
          <w:i/>
          <w:iCs/>
          <w:sz w:val="24"/>
          <w:szCs w:val="24"/>
        </w:rPr>
      </w:pPr>
      <w:r w:rsidRPr="0036788C">
        <w:rPr>
          <w:iCs/>
          <w:sz w:val="24"/>
          <w:szCs w:val="24"/>
        </w:rPr>
        <w:t xml:space="preserve">Az önkormányzat – költségvetésének végrehajtása során külön figyelmet fordít likviditásának folyamatos biztosítására. Tekintettel arra, hogy a központi működési támogatások a működési kiadások felét sem finanszírozzák, - a helyi adóbevételek pedig ciklikusan érkeznek, - fontosnak tartjuk, hogy az önkormányzat </w:t>
      </w:r>
      <w:proofErr w:type="gramStart"/>
      <w:r w:rsidRPr="0036788C">
        <w:rPr>
          <w:iCs/>
          <w:sz w:val="24"/>
          <w:szCs w:val="24"/>
        </w:rPr>
        <w:t>jelentős  maradvánnyal</w:t>
      </w:r>
      <w:proofErr w:type="gramEnd"/>
      <w:r w:rsidRPr="0036788C">
        <w:rPr>
          <w:iCs/>
          <w:sz w:val="24"/>
          <w:szCs w:val="24"/>
        </w:rPr>
        <w:t xml:space="preserve"> rendelkezzen, ami egyúttal lehetővé teszi az önkormányzati célok hatékonyabb megvalósítását, a piaci, pályázati lehetőségek jobb kihasználását.</w:t>
      </w:r>
    </w:p>
    <w:p w14:paraId="08551256" w14:textId="77777777" w:rsidR="00981DC7" w:rsidRPr="0036788C" w:rsidRDefault="00981DC7" w:rsidP="00981DC7">
      <w:pPr>
        <w:jc w:val="both"/>
        <w:rPr>
          <w:i/>
          <w:iCs/>
          <w:sz w:val="24"/>
          <w:szCs w:val="24"/>
          <w:highlight w:val="yellow"/>
        </w:rPr>
      </w:pPr>
    </w:p>
    <w:p w14:paraId="42AD1900" w14:textId="77777777" w:rsidR="00981DC7" w:rsidRPr="0036788C" w:rsidRDefault="00981DC7" w:rsidP="00981DC7">
      <w:pPr>
        <w:pStyle w:val="Szvegtrzs"/>
        <w:rPr>
          <w:b/>
          <w:bCs/>
          <w:iCs/>
        </w:rPr>
      </w:pPr>
      <w:r w:rsidRPr="0036788C">
        <w:rPr>
          <w:b/>
          <w:bCs/>
          <w:iCs/>
        </w:rPr>
        <w:t>Költségvetési maradvány alakulása</w:t>
      </w:r>
    </w:p>
    <w:p w14:paraId="05A4F1D7" w14:textId="77777777" w:rsidR="00981DC7" w:rsidRPr="0036788C" w:rsidRDefault="00981DC7" w:rsidP="00981DC7">
      <w:pPr>
        <w:pStyle w:val="Szvegtrzs"/>
        <w:rPr>
          <w:iCs/>
        </w:rPr>
      </w:pPr>
    </w:p>
    <w:p w14:paraId="23DE7A9B" w14:textId="77777777" w:rsidR="00981DC7" w:rsidRPr="0036788C" w:rsidRDefault="00981DC7" w:rsidP="00981DC7">
      <w:pPr>
        <w:pStyle w:val="Szvegtrzs"/>
        <w:rPr>
          <w:iCs/>
          <w:u w:val="single"/>
        </w:rPr>
      </w:pPr>
      <w:r w:rsidRPr="0036788C">
        <w:rPr>
          <w:iCs/>
        </w:rPr>
        <w:t>A 2014-ben bevezetett új számviteli rendszerben a</w:t>
      </w:r>
      <w:r w:rsidRPr="0036788C">
        <w:rPr>
          <w:iCs/>
          <w:u w:val="single"/>
        </w:rPr>
        <w:t>z alaptevékenység keretében</w:t>
      </w:r>
      <w:r w:rsidRPr="0036788C">
        <w:rPr>
          <w:iCs/>
        </w:rPr>
        <w:t xml:space="preserve"> </w:t>
      </w:r>
      <w:r w:rsidRPr="0036788C">
        <w:rPr>
          <w:iCs/>
          <w:u w:val="single"/>
        </w:rPr>
        <w:t>realizált bevételek és teljesített kiadások egyenlege a költségvetési maradvány,</w:t>
      </w:r>
      <w:r w:rsidRPr="0036788C">
        <w:rPr>
          <w:iCs/>
        </w:rPr>
        <w:t xml:space="preserve"> melynek levezetése során, az előző évek maradványa tárgyévi bevételként kerül elszámolásra, így az év végi maradvány a költségvetési gazdálkodás során </w:t>
      </w:r>
      <w:r w:rsidRPr="0036788C">
        <w:rPr>
          <w:iCs/>
          <w:u w:val="single"/>
        </w:rPr>
        <w:t>összességében felhalmozott megtakarítást tükrözi.</w:t>
      </w:r>
    </w:p>
    <w:p w14:paraId="29125A50" w14:textId="77777777" w:rsidR="00981DC7" w:rsidRPr="0036788C" w:rsidRDefault="00981DC7" w:rsidP="00981DC7">
      <w:pPr>
        <w:pStyle w:val="Szvegtrzs"/>
        <w:rPr>
          <w:iCs/>
        </w:rPr>
      </w:pPr>
    </w:p>
    <w:p w14:paraId="401F65E9" w14:textId="77777777" w:rsidR="00981DC7" w:rsidRPr="0036788C" w:rsidRDefault="00981DC7" w:rsidP="00981DC7">
      <w:pPr>
        <w:pStyle w:val="Szvegtrzs"/>
        <w:rPr>
          <w:iCs/>
        </w:rPr>
      </w:pPr>
      <w:r w:rsidRPr="0036788C">
        <w:rPr>
          <w:iCs/>
        </w:rPr>
        <w:t>A zárszámadás keretében megállapított maradvány összege beépül a következő évi költségvetésbe, ahol a továbbiakban tárgyévi bevételként funkcionál. Ennek terhére szükséges biztosítani azokat a kiadásokat is, (</w:t>
      </w:r>
      <w:proofErr w:type="spellStart"/>
      <w:r w:rsidRPr="0036788C">
        <w:rPr>
          <w:iCs/>
        </w:rPr>
        <w:t>pl</w:t>
      </w:r>
      <w:proofErr w:type="spellEnd"/>
      <w:r w:rsidRPr="0036788C">
        <w:rPr>
          <w:iCs/>
        </w:rPr>
        <w:t xml:space="preserve"> normatíva visszafizetési kötelezettség, következő évre folyósított finanszírozási előleg levonása) amelyek korábban pénzmaradványt módosító tételek voltak.</w:t>
      </w:r>
    </w:p>
    <w:p w14:paraId="0F9573FD" w14:textId="77777777" w:rsidR="00981DC7" w:rsidRPr="0036788C" w:rsidRDefault="00981DC7" w:rsidP="00981DC7">
      <w:pPr>
        <w:rPr>
          <w:i/>
          <w:iCs/>
          <w:sz w:val="24"/>
          <w:szCs w:val="24"/>
        </w:rPr>
      </w:pPr>
    </w:p>
    <w:p w14:paraId="738F6A4D" w14:textId="77777777" w:rsidR="00981DC7" w:rsidRPr="0036788C" w:rsidRDefault="00981DC7" w:rsidP="00981DC7">
      <w:pPr>
        <w:rPr>
          <w:i/>
          <w:iCs/>
          <w:sz w:val="24"/>
          <w:szCs w:val="24"/>
        </w:rPr>
      </w:pPr>
      <w:r w:rsidRPr="0036788C">
        <w:rPr>
          <w:iCs/>
          <w:sz w:val="24"/>
          <w:szCs w:val="24"/>
        </w:rPr>
        <w:t>A beszámoló szerinti pénzmaradványt a 14. melléklet tartalmazza.</w:t>
      </w:r>
    </w:p>
    <w:p w14:paraId="5FEE116B" w14:textId="77777777" w:rsidR="00981DC7" w:rsidRPr="0036788C" w:rsidRDefault="00981DC7" w:rsidP="00981DC7">
      <w:pPr>
        <w:pStyle w:val="Szvegtrzs"/>
        <w:jc w:val="center"/>
        <w:rPr>
          <w:b/>
          <w:bCs/>
          <w:iCs/>
        </w:rPr>
      </w:pPr>
    </w:p>
    <w:p w14:paraId="4B1F230B" w14:textId="77777777" w:rsidR="00981DC7" w:rsidRPr="0036788C" w:rsidRDefault="00981DC7" w:rsidP="00981DC7">
      <w:pPr>
        <w:pStyle w:val="Szvegtrzs"/>
        <w:jc w:val="center"/>
        <w:rPr>
          <w:b/>
          <w:bCs/>
          <w:iCs/>
        </w:rPr>
      </w:pPr>
    </w:p>
    <w:p w14:paraId="0490296D" w14:textId="77777777" w:rsidR="00981DC7" w:rsidRPr="0036788C" w:rsidRDefault="00981DC7" w:rsidP="00981DC7">
      <w:pPr>
        <w:pStyle w:val="Szvegtrzs"/>
        <w:jc w:val="center"/>
        <w:rPr>
          <w:b/>
          <w:bCs/>
          <w:iCs/>
        </w:rPr>
      </w:pPr>
    </w:p>
    <w:p w14:paraId="2991F891" w14:textId="77777777" w:rsidR="00981DC7" w:rsidRPr="0036788C" w:rsidRDefault="00981DC7" w:rsidP="00981DC7">
      <w:pPr>
        <w:pStyle w:val="Szvegtrzs"/>
        <w:jc w:val="center"/>
        <w:rPr>
          <w:b/>
          <w:bCs/>
          <w:iCs/>
        </w:rPr>
      </w:pPr>
      <w:r w:rsidRPr="0036788C">
        <w:rPr>
          <w:b/>
          <w:bCs/>
          <w:iCs/>
        </w:rPr>
        <w:t>Vagyon és eredmény kimutatás alakulása</w:t>
      </w:r>
    </w:p>
    <w:p w14:paraId="5FF98E78" w14:textId="77777777" w:rsidR="00981DC7" w:rsidRPr="0036788C" w:rsidRDefault="00981DC7" w:rsidP="00981DC7">
      <w:pPr>
        <w:pStyle w:val="Szvegtrzs"/>
        <w:rPr>
          <w:b/>
          <w:bCs/>
          <w:iCs/>
        </w:rPr>
      </w:pPr>
    </w:p>
    <w:p w14:paraId="03DB697D" w14:textId="77777777" w:rsidR="00981DC7" w:rsidRPr="0036788C" w:rsidRDefault="00981DC7" w:rsidP="00981DC7">
      <w:pPr>
        <w:pStyle w:val="Szvegtrzs"/>
        <w:rPr>
          <w:b/>
          <w:bCs/>
          <w:iCs/>
        </w:rPr>
      </w:pPr>
      <w:r w:rsidRPr="0036788C">
        <w:rPr>
          <w:b/>
          <w:bCs/>
          <w:iCs/>
        </w:rPr>
        <w:t xml:space="preserve">Eredmény kimutatás </w:t>
      </w:r>
    </w:p>
    <w:p w14:paraId="136A965D" w14:textId="77777777" w:rsidR="00981DC7" w:rsidRPr="0036788C" w:rsidRDefault="00981DC7" w:rsidP="00981DC7">
      <w:pPr>
        <w:pStyle w:val="Szvegtrzs"/>
        <w:rPr>
          <w:iCs/>
        </w:rPr>
      </w:pPr>
    </w:p>
    <w:p w14:paraId="7B1718DE" w14:textId="77777777" w:rsidR="00981DC7" w:rsidRPr="0036788C" w:rsidRDefault="00981DC7" w:rsidP="00981DC7">
      <w:pPr>
        <w:pStyle w:val="Szvegtrzs"/>
        <w:rPr>
          <w:iCs/>
        </w:rPr>
      </w:pPr>
      <w:r w:rsidRPr="0036788C">
        <w:rPr>
          <w:iCs/>
        </w:rPr>
        <w:t>Az eredmény kimutatást a pénzügyi számvitelben vezetett elszámolások alapján kell elkészíteni.</w:t>
      </w:r>
    </w:p>
    <w:p w14:paraId="4021E77F" w14:textId="77777777" w:rsidR="00981DC7" w:rsidRPr="0036788C" w:rsidRDefault="00981DC7" w:rsidP="00981DC7">
      <w:pPr>
        <w:pStyle w:val="Szvegtrzs"/>
        <w:rPr>
          <w:iCs/>
        </w:rPr>
      </w:pPr>
      <w:r w:rsidRPr="0036788C">
        <w:rPr>
          <w:iCs/>
        </w:rPr>
        <w:t xml:space="preserve">Az összesített eredmény kimutatás adatai szerint, 2019-ban az önkormányzat és intézmények </w:t>
      </w:r>
      <w:r w:rsidRPr="0036788C">
        <w:rPr>
          <w:b/>
          <w:bCs/>
          <w:iCs/>
        </w:rPr>
        <w:t>mérleg szerinti eredménye -38 179 973 Ft volt</w:t>
      </w:r>
      <w:r w:rsidRPr="0036788C">
        <w:rPr>
          <w:iCs/>
        </w:rPr>
        <w:t xml:space="preserve">. A negatív eredmény abból adódik, hogy a 2019. évi beruházások bevételeinek elhatárolása megtörtént év végén. </w:t>
      </w:r>
    </w:p>
    <w:p w14:paraId="6FBACDDF" w14:textId="77777777" w:rsidR="00981DC7" w:rsidRDefault="00981DC7" w:rsidP="00981DC7">
      <w:pPr>
        <w:pStyle w:val="Szvegtrzs"/>
        <w:rPr>
          <w:iCs/>
        </w:rPr>
      </w:pPr>
    </w:p>
    <w:p w14:paraId="6C78E2F0" w14:textId="77777777" w:rsidR="00981DC7" w:rsidRDefault="00981DC7" w:rsidP="00981DC7">
      <w:pPr>
        <w:pStyle w:val="Szvegtrzs"/>
        <w:rPr>
          <w:iCs/>
        </w:rPr>
      </w:pPr>
    </w:p>
    <w:p w14:paraId="74A705FF" w14:textId="77777777" w:rsidR="00981DC7" w:rsidRPr="0036788C" w:rsidRDefault="00981DC7" w:rsidP="00981DC7">
      <w:pPr>
        <w:pStyle w:val="Szvegtrzs"/>
        <w:rPr>
          <w:iCs/>
        </w:rPr>
      </w:pPr>
    </w:p>
    <w:p w14:paraId="469E0EBB" w14:textId="77777777" w:rsidR="00981DC7" w:rsidRPr="0036788C" w:rsidRDefault="00981DC7" w:rsidP="00981DC7">
      <w:pPr>
        <w:pStyle w:val="Szvegtrzs"/>
        <w:rPr>
          <w:b/>
          <w:bCs/>
          <w:iCs/>
        </w:rPr>
      </w:pPr>
      <w:r w:rsidRPr="0036788C">
        <w:rPr>
          <w:b/>
          <w:bCs/>
          <w:iCs/>
        </w:rPr>
        <w:lastRenderedPageBreak/>
        <w:t>Vagyon változása</w:t>
      </w:r>
    </w:p>
    <w:p w14:paraId="38A808F4" w14:textId="77777777" w:rsidR="00981DC7" w:rsidRPr="0036788C" w:rsidRDefault="00981DC7" w:rsidP="00981DC7">
      <w:pPr>
        <w:pStyle w:val="Szvegtrzs"/>
        <w:rPr>
          <w:iCs/>
        </w:rPr>
      </w:pPr>
    </w:p>
    <w:p w14:paraId="216C5D7F" w14:textId="77777777" w:rsidR="00981DC7" w:rsidRPr="0036788C" w:rsidRDefault="00981DC7" w:rsidP="00981DC7">
      <w:pPr>
        <w:pStyle w:val="Szvegtrzs"/>
        <w:rPr>
          <w:bCs/>
          <w:iCs/>
        </w:rPr>
      </w:pPr>
      <w:r w:rsidRPr="0036788C">
        <w:rPr>
          <w:iCs/>
        </w:rPr>
        <w:t>A 2019. évi mérleg adatai szerint, az eszközök értéke 37 519 047 Ft-tal nőtt</w:t>
      </w:r>
      <w:r w:rsidRPr="0036788C">
        <w:rPr>
          <w:b/>
          <w:bCs/>
          <w:iCs/>
        </w:rPr>
        <w:t xml:space="preserve"> </w:t>
      </w:r>
      <w:r w:rsidRPr="0036788C">
        <w:rPr>
          <w:bCs/>
          <w:iCs/>
        </w:rPr>
        <w:t>a külső és saját forrásokból megvalósított fejlesztések hatására.</w:t>
      </w:r>
    </w:p>
    <w:p w14:paraId="554B9758" w14:textId="77777777" w:rsidR="00981DC7" w:rsidRPr="0036788C" w:rsidRDefault="00981DC7" w:rsidP="00981DC7">
      <w:pPr>
        <w:pStyle w:val="Szvegtrzs"/>
        <w:rPr>
          <w:iCs/>
        </w:rPr>
      </w:pPr>
    </w:p>
    <w:p w14:paraId="4FF9EC60" w14:textId="77777777" w:rsidR="00981DC7" w:rsidRPr="0036788C" w:rsidRDefault="00981DC7" w:rsidP="00981DC7">
      <w:pPr>
        <w:pStyle w:val="Szvegtrzs"/>
        <w:rPr>
          <w:iCs/>
        </w:rPr>
      </w:pPr>
      <w:r w:rsidRPr="0036788C">
        <w:rPr>
          <w:iCs/>
        </w:rPr>
        <w:t>A vagyon alakulását a 21. melléklet tartalmazza.</w:t>
      </w:r>
    </w:p>
    <w:p w14:paraId="41EDFDCF" w14:textId="77777777" w:rsidR="00981DC7" w:rsidRPr="0036788C" w:rsidRDefault="00981DC7" w:rsidP="00981DC7">
      <w:pPr>
        <w:pStyle w:val="Szvegtrzs"/>
        <w:rPr>
          <w:iCs/>
        </w:rPr>
      </w:pPr>
    </w:p>
    <w:p w14:paraId="622ECD5B" w14:textId="77777777" w:rsidR="00981DC7" w:rsidRPr="0036788C" w:rsidRDefault="00981DC7" w:rsidP="00981DC7">
      <w:pPr>
        <w:pStyle w:val="Szvegtrzs"/>
        <w:rPr>
          <w:iCs/>
        </w:rPr>
      </w:pPr>
      <w:r w:rsidRPr="0036788C">
        <w:rPr>
          <w:iCs/>
        </w:rPr>
        <w:t xml:space="preserve">A növekmény nagyobb része a </w:t>
      </w:r>
      <w:r w:rsidRPr="0036788C">
        <w:rPr>
          <w:b/>
          <w:bCs/>
          <w:iCs/>
        </w:rPr>
        <w:t>tárgyi eszközöknél jelentkezik</w:t>
      </w:r>
      <w:r w:rsidRPr="0036788C">
        <w:rPr>
          <w:iCs/>
        </w:rPr>
        <w:t>.</w:t>
      </w:r>
    </w:p>
    <w:p w14:paraId="38891020" w14:textId="77777777" w:rsidR="00981DC7" w:rsidRPr="0036788C" w:rsidRDefault="00981DC7" w:rsidP="00981DC7">
      <w:pPr>
        <w:pStyle w:val="Szvegtrzs"/>
        <w:rPr>
          <w:b/>
          <w:bCs/>
          <w:iCs/>
        </w:rPr>
      </w:pPr>
    </w:p>
    <w:p w14:paraId="7D3C5CF6" w14:textId="77777777" w:rsidR="00981DC7" w:rsidRPr="0036788C" w:rsidRDefault="00981DC7" w:rsidP="00981DC7">
      <w:pPr>
        <w:pStyle w:val="Szvegtrzs"/>
        <w:rPr>
          <w:iCs/>
        </w:rPr>
      </w:pPr>
      <w:r w:rsidRPr="0036788C">
        <w:rPr>
          <w:b/>
          <w:bCs/>
          <w:iCs/>
        </w:rPr>
        <w:t>A pénzeszközök értéke változott</w:t>
      </w:r>
      <w:r w:rsidRPr="0036788C">
        <w:rPr>
          <w:iCs/>
        </w:rPr>
        <w:t xml:space="preserve">: 156 670 012 Ft-ról 163 417 407 Ft-ra nőtt. A követelések állománya 5 502 812 Ft-tal csökkent. </w:t>
      </w:r>
    </w:p>
    <w:p w14:paraId="0FC73232" w14:textId="77777777" w:rsidR="00981DC7" w:rsidRPr="0036788C" w:rsidRDefault="00981DC7" w:rsidP="00981DC7">
      <w:pPr>
        <w:pStyle w:val="Szvegtrzs"/>
        <w:rPr>
          <w:iCs/>
        </w:rPr>
      </w:pPr>
    </w:p>
    <w:p w14:paraId="67DD6022" w14:textId="77777777" w:rsidR="00981DC7" w:rsidRPr="0036788C" w:rsidRDefault="00981DC7" w:rsidP="00981DC7">
      <w:pPr>
        <w:pStyle w:val="Szvegtrzs"/>
        <w:rPr>
          <w:iCs/>
        </w:rPr>
      </w:pPr>
      <w:r w:rsidRPr="0036788C">
        <w:rPr>
          <w:b/>
          <w:bCs/>
          <w:iCs/>
        </w:rPr>
        <w:t>A kötelezettségek 3 045 482 Ft-os növekedést mutatnak</w:t>
      </w:r>
      <w:r w:rsidRPr="0036788C">
        <w:rPr>
          <w:iCs/>
        </w:rPr>
        <w:t>, ez főként annak tudható be, hogy az évvégén beérkezett számlák kifizetése áthúzódott 2020-</w:t>
      </w:r>
      <w:proofErr w:type="spellStart"/>
      <w:r w:rsidRPr="0036788C">
        <w:rPr>
          <w:iCs/>
        </w:rPr>
        <w:t>ra</w:t>
      </w:r>
      <w:proofErr w:type="spellEnd"/>
      <w:r w:rsidRPr="0036788C">
        <w:rPr>
          <w:iCs/>
        </w:rPr>
        <w:t>, valamint a beruházások biztosítékainak letétbe helyezését itt mutatjuk ki.</w:t>
      </w:r>
    </w:p>
    <w:p w14:paraId="32BDEC7E" w14:textId="77777777" w:rsidR="00981DC7" w:rsidRPr="0036788C" w:rsidRDefault="00981DC7" w:rsidP="00981DC7">
      <w:pPr>
        <w:pStyle w:val="Szvegtrzs"/>
        <w:rPr>
          <w:iCs/>
        </w:rPr>
      </w:pPr>
    </w:p>
    <w:p w14:paraId="3B266614" w14:textId="77777777" w:rsidR="00981DC7" w:rsidRPr="0036788C" w:rsidRDefault="00981DC7" w:rsidP="00981DC7">
      <w:pPr>
        <w:pStyle w:val="Szvegtrzs"/>
        <w:rPr>
          <w:iCs/>
        </w:rPr>
      </w:pPr>
      <w:r w:rsidRPr="0036788C">
        <w:rPr>
          <w:iCs/>
        </w:rPr>
        <w:t xml:space="preserve">Az önkormányzat tárgyi eszközeinek az </w:t>
      </w:r>
      <w:proofErr w:type="spellStart"/>
      <w:r w:rsidRPr="0036788C">
        <w:rPr>
          <w:iCs/>
        </w:rPr>
        <w:t>elhasználódási</w:t>
      </w:r>
      <w:proofErr w:type="spellEnd"/>
      <w:r w:rsidRPr="0036788C">
        <w:rPr>
          <w:iCs/>
        </w:rPr>
        <w:t xml:space="preserve"> fokát az alábbi táblázat mutatja:</w:t>
      </w:r>
    </w:p>
    <w:p w14:paraId="4B26F1F8" w14:textId="77777777" w:rsidR="00981DC7" w:rsidRPr="0036788C" w:rsidRDefault="00981DC7" w:rsidP="00981DC7">
      <w:pPr>
        <w:pStyle w:val="Szvegtrzs"/>
        <w:rPr>
          <w:iCs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024"/>
        <w:gridCol w:w="2144"/>
        <w:gridCol w:w="1596"/>
      </w:tblGrid>
      <w:tr w:rsidR="00981DC7" w:rsidRPr="0036788C" w14:paraId="4FF74487" w14:textId="77777777" w:rsidTr="003F67BC">
        <w:tc>
          <w:tcPr>
            <w:tcW w:w="0" w:type="auto"/>
          </w:tcPr>
          <w:p w14:paraId="301D95BB" w14:textId="77777777" w:rsidR="00981DC7" w:rsidRPr="0036788C" w:rsidRDefault="00981DC7" w:rsidP="003F67BC">
            <w:pPr>
              <w:pStyle w:val="Szvegtrzs"/>
              <w:rPr>
                <w:b/>
                <w:iCs/>
              </w:rPr>
            </w:pPr>
            <w:r w:rsidRPr="0036788C">
              <w:rPr>
                <w:b/>
                <w:iCs/>
              </w:rPr>
              <w:t>Eszközcsoportok</w:t>
            </w:r>
          </w:p>
        </w:tc>
        <w:tc>
          <w:tcPr>
            <w:tcW w:w="0" w:type="auto"/>
            <w:gridSpan w:val="2"/>
          </w:tcPr>
          <w:p w14:paraId="7A05EA37" w14:textId="77777777" w:rsidR="00981DC7" w:rsidRPr="0036788C" w:rsidRDefault="00981DC7" w:rsidP="003F67BC">
            <w:pPr>
              <w:pStyle w:val="Szvegtrzs"/>
              <w:rPr>
                <w:b/>
                <w:iCs/>
              </w:rPr>
            </w:pPr>
            <w:r w:rsidRPr="0036788C">
              <w:rPr>
                <w:b/>
                <w:iCs/>
              </w:rPr>
              <w:t>Bruttó állományi érték (Ft)</w:t>
            </w:r>
          </w:p>
        </w:tc>
      </w:tr>
      <w:tr w:rsidR="00981DC7" w:rsidRPr="0036788C" w14:paraId="7525C454" w14:textId="77777777" w:rsidTr="003F67BC">
        <w:tc>
          <w:tcPr>
            <w:tcW w:w="0" w:type="auto"/>
            <w:vMerge w:val="restart"/>
          </w:tcPr>
          <w:p w14:paraId="5C0CD552" w14:textId="77777777" w:rsidR="00981DC7" w:rsidRPr="0036788C" w:rsidRDefault="00981DC7" w:rsidP="003F67BC">
            <w:pPr>
              <w:pStyle w:val="Szvegtrzs"/>
              <w:rPr>
                <w:iCs/>
              </w:rPr>
            </w:pPr>
            <w:bookmarkStart w:id="1" w:name="_Hlk514827339"/>
          </w:p>
          <w:p w14:paraId="7360824D" w14:textId="77777777" w:rsidR="00981DC7" w:rsidRPr="0036788C" w:rsidRDefault="00981DC7" w:rsidP="003F67BC">
            <w:pPr>
              <w:pStyle w:val="Szvegtrzs"/>
              <w:rPr>
                <w:b/>
                <w:iCs/>
              </w:rPr>
            </w:pPr>
            <w:r w:rsidRPr="0036788C">
              <w:rPr>
                <w:b/>
                <w:iCs/>
              </w:rPr>
              <w:t>Immateriális javak</w:t>
            </w:r>
          </w:p>
        </w:tc>
        <w:tc>
          <w:tcPr>
            <w:tcW w:w="0" w:type="auto"/>
          </w:tcPr>
          <w:p w14:paraId="5873CA2B" w14:textId="77777777" w:rsidR="00981DC7" w:rsidRPr="0036788C" w:rsidRDefault="00981DC7" w:rsidP="003F67BC">
            <w:pPr>
              <w:pStyle w:val="Szvegtrzs"/>
              <w:rPr>
                <w:iCs/>
              </w:rPr>
            </w:pPr>
            <w:r w:rsidRPr="0036788C">
              <w:rPr>
                <w:iCs/>
              </w:rPr>
              <w:t>Bruttó érték</w:t>
            </w:r>
          </w:p>
        </w:tc>
        <w:tc>
          <w:tcPr>
            <w:tcW w:w="0" w:type="auto"/>
          </w:tcPr>
          <w:p w14:paraId="6D1FB9BF" w14:textId="77777777" w:rsidR="00981DC7" w:rsidRPr="0036788C" w:rsidRDefault="00981DC7" w:rsidP="003F67BC">
            <w:pPr>
              <w:pStyle w:val="Szvegtrzs"/>
              <w:jc w:val="center"/>
              <w:rPr>
                <w:iCs/>
              </w:rPr>
            </w:pPr>
            <w:r w:rsidRPr="0036788C">
              <w:rPr>
                <w:iCs/>
              </w:rPr>
              <w:t>12 574 737</w:t>
            </w:r>
          </w:p>
        </w:tc>
      </w:tr>
      <w:tr w:rsidR="00981DC7" w:rsidRPr="0036788C" w14:paraId="59A81A33" w14:textId="77777777" w:rsidTr="003F67BC">
        <w:tc>
          <w:tcPr>
            <w:tcW w:w="0" w:type="auto"/>
            <w:vMerge/>
          </w:tcPr>
          <w:p w14:paraId="44E9B2BE" w14:textId="77777777" w:rsidR="00981DC7" w:rsidRPr="0036788C" w:rsidRDefault="00981DC7" w:rsidP="003F67BC">
            <w:pPr>
              <w:pStyle w:val="Szvegtrzs"/>
              <w:rPr>
                <w:iCs/>
              </w:rPr>
            </w:pPr>
          </w:p>
        </w:tc>
        <w:tc>
          <w:tcPr>
            <w:tcW w:w="0" w:type="auto"/>
          </w:tcPr>
          <w:p w14:paraId="547AEFF9" w14:textId="77777777" w:rsidR="00981DC7" w:rsidRPr="0036788C" w:rsidRDefault="00981DC7" w:rsidP="003F67BC">
            <w:pPr>
              <w:pStyle w:val="Szvegtrzs"/>
              <w:rPr>
                <w:iCs/>
              </w:rPr>
            </w:pPr>
            <w:r w:rsidRPr="0036788C">
              <w:rPr>
                <w:iCs/>
              </w:rPr>
              <w:t>Értékcsökkenés</w:t>
            </w:r>
          </w:p>
        </w:tc>
        <w:tc>
          <w:tcPr>
            <w:tcW w:w="0" w:type="auto"/>
          </w:tcPr>
          <w:p w14:paraId="0B551234" w14:textId="77777777" w:rsidR="00981DC7" w:rsidRPr="0036788C" w:rsidRDefault="00981DC7" w:rsidP="003F67BC">
            <w:pPr>
              <w:pStyle w:val="Szvegtrzs"/>
              <w:jc w:val="center"/>
              <w:rPr>
                <w:iCs/>
              </w:rPr>
            </w:pPr>
            <w:r w:rsidRPr="0036788C">
              <w:rPr>
                <w:iCs/>
              </w:rPr>
              <w:t>8 850 482</w:t>
            </w:r>
          </w:p>
        </w:tc>
      </w:tr>
      <w:tr w:rsidR="00981DC7" w:rsidRPr="0036788C" w14:paraId="22292F43" w14:textId="77777777" w:rsidTr="003F67BC">
        <w:tc>
          <w:tcPr>
            <w:tcW w:w="0" w:type="auto"/>
            <w:vMerge/>
          </w:tcPr>
          <w:p w14:paraId="2101F10B" w14:textId="77777777" w:rsidR="00981DC7" w:rsidRPr="0036788C" w:rsidRDefault="00981DC7" w:rsidP="003F67BC">
            <w:pPr>
              <w:pStyle w:val="Szvegtrzs"/>
              <w:rPr>
                <w:iCs/>
              </w:rPr>
            </w:pPr>
          </w:p>
        </w:tc>
        <w:tc>
          <w:tcPr>
            <w:tcW w:w="0" w:type="auto"/>
          </w:tcPr>
          <w:p w14:paraId="6288F6A8" w14:textId="77777777" w:rsidR="00981DC7" w:rsidRPr="0036788C" w:rsidRDefault="00981DC7" w:rsidP="003F67BC">
            <w:pPr>
              <w:pStyle w:val="Szvegtrzs"/>
              <w:rPr>
                <w:b/>
                <w:iCs/>
              </w:rPr>
            </w:pPr>
            <w:proofErr w:type="spellStart"/>
            <w:r w:rsidRPr="0036788C">
              <w:rPr>
                <w:b/>
                <w:iCs/>
              </w:rPr>
              <w:t>Elhasználódási</w:t>
            </w:r>
            <w:proofErr w:type="spellEnd"/>
            <w:r w:rsidRPr="0036788C">
              <w:rPr>
                <w:b/>
                <w:iCs/>
              </w:rPr>
              <w:t xml:space="preserve"> fok</w:t>
            </w:r>
          </w:p>
        </w:tc>
        <w:tc>
          <w:tcPr>
            <w:tcW w:w="0" w:type="auto"/>
          </w:tcPr>
          <w:p w14:paraId="3B6B65B2" w14:textId="77777777" w:rsidR="00981DC7" w:rsidRPr="0036788C" w:rsidRDefault="00981DC7" w:rsidP="003F67BC">
            <w:pPr>
              <w:pStyle w:val="Szvegtrzs"/>
              <w:jc w:val="center"/>
              <w:rPr>
                <w:b/>
                <w:iCs/>
              </w:rPr>
            </w:pPr>
            <w:r w:rsidRPr="0036788C">
              <w:rPr>
                <w:b/>
                <w:iCs/>
              </w:rPr>
              <w:t>49,75 %</w:t>
            </w:r>
          </w:p>
        </w:tc>
      </w:tr>
      <w:bookmarkEnd w:id="1"/>
      <w:tr w:rsidR="00981DC7" w:rsidRPr="0036788C" w14:paraId="210453B9" w14:textId="77777777" w:rsidTr="003F67BC">
        <w:tc>
          <w:tcPr>
            <w:tcW w:w="0" w:type="auto"/>
            <w:vMerge w:val="restart"/>
          </w:tcPr>
          <w:p w14:paraId="2106EFC3" w14:textId="77777777" w:rsidR="00981DC7" w:rsidRPr="0036788C" w:rsidRDefault="00981DC7" w:rsidP="003F67BC">
            <w:pPr>
              <w:pStyle w:val="Szvegtrzs"/>
              <w:rPr>
                <w:b/>
                <w:iCs/>
              </w:rPr>
            </w:pPr>
          </w:p>
          <w:p w14:paraId="2228DE30" w14:textId="77777777" w:rsidR="00981DC7" w:rsidRPr="0036788C" w:rsidRDefault="00981DC7" w:rsidP="003F67BC">
            <w:pPr>
              <w:pStyle w:val="Szvegtrzs"/>
              <w:rPr>
                <w:b/>
                <w:iCs/>
              </w:rPr>
            </w:pPr>
            <w:r w:rsidRPr="0036788C">
              <w:rPr>
                <w:b/>
                <w:iCs/>
              </w:rPr>
              <w:t>Ingatlanok és kapcsolódó vagyoni értékű jogok</w:t>
            </w:r>
          </w:p>
        </w:tc>
        <w:tc>
          <w:tcPr>
            <w:tcW w:w="0" w:type="auto"/>
          </w:tcPr>
          <w:p w14:paraId="14E0A2D1" w14:textId="77777777" w:rsidR="00981DC7" w:rsidRPr="0036788C" w:rsidRDefault="00981DC7" w:rsidP="003F67BC">
            <w:pPr>
              <w:pStyle w:val="Szvegtrzs"/>
              <w:rPr>
                <w:iCs/>
              </w:rPr>
            </w:pPr>
            <w:r w:rsidRPr="0036788C">
              <w:rPr>
                <w:iCs/>
              </w:rPr>
              <w:t>Bruttó érték</w:t>
            </w:r>
          </w:p>
        </w:tc>
        <w:tc>
          <w:tcPr>
            <w:tcW w:w="0" w:type="auto"/>
          </w:tcPr>
          <w:p w14:paraId="08D2FB6E" w14:textId="77777777" w:rsidR="00981DC7" w:rsidRPr="0036788C" w:rsidRDefault="00981DC7" w:rsidP="003F67BC">
            <w:pPr>
              <w:pStyle w:val="Szvegtrzs"/>
              <w:jc w:val="center"/>
              <w:rPr>
                <w:iCs/>
              </w:rPr>
            </w:pPr>
            <w:r w:rsidRPr="0036788C">
              <w:rPr>
                <w:iCs/>
              </w:rPr>
              <w:t>1 131 855 416</w:t>
            </w:r>
          </w:p>
        </w:tc>
      </w:tr>
      <w:tr w:rsidR="00981DC7" w:rsidRPr="0036788C" w14:paraId="290C2A5F" w14:textId="77777777" w:rsidTr="003F67BC">
        <w:tc>
          <w:tcPr>
            <w:tcW w:w="0" w:type="auto"/>
            <w:vMerge/>
          </w:tcPr>
          <w:p w14:paraId="3E0CB2DA" w14:textId="77777777" w:rsidR="00981DC7" w:rsidRPr="0036788C" w:rsidRDefault="00981DC7" w:rsidP="003F67BC">
            <w:pPr>
              <w:pStyle w:val="Szvegtrzs"/>
              <w:rPr>
                <w:b/>
                <w:iCs/>
              </w:rPr>
            </w:pPr>
          </w:p>
        </w:tc>
        <w:tc>
          <w:tcPr>
            <w:tcW w:w="0" w:type="auto"/>
          </w:tcPr>
          <w:p w14:paraId="08363C73" w14:textId="77777777" w:rsidR="00981DC7" w:rsidRPr="0036788C" w:rsidRDefault="00981DC7" w:rsidP="003F67BC">
            <w:pPr>
              <w:pStyle w:val="Szvegtrzs"/>
              <w:rPr>
                <w:iCs/>
              </w:rPr>
            </w:pPr>
            <w:r w:rsidRPr="0036788C">
              <w:rPr>
                <w:iCs/>
              </w:rPr>
              <w:t>Értékcsökkenés</w:t>
            </w:r>
          </w:p>
        </w:tc>
        <w:tc>
          <w:tcPr>
            <w:tcW w:w="0" w:type="auto"/>
          </w:tcPr>
          <w:p w14:paraId="23B9C6CB" w14:textId="77777777" w:rsidR="00981DC7" w:rsidRPr="0036788C" w:rsidRDefault="00981DC7" w:rsidP="003F67BC">
            <w:pPr>
              <w:pStyle w:val="Szvegtrzs"/>
              <w:jc w:val="center"/>
              <w:rPr>
                <w:iCs/>
              </w:rPr>
            </w:pPr>
            <w:r w:rsidRPr="0036788C">
              <w:rPr>
                <w:iCs/>
              </w:rPr>
              <w:t>302 546 032</w:t>
            </w:r>
          </w:p>
        </w:tc>
      </w:tr>
      <w:tr w:rsidR="00981DC7" w:rsidRPr="0036788C" w14:paraId="2A844BC6" w14:textId="77777777" w:rsidTr="003F67BC">
        <w:tc>
          <w:tcPr>
            <w:tcW w:w="0" w:type="auto"/>
            <w:vMerge/>
          </w:tcPr>
          <w:p w14:paraId="52C24312" w14:textId="77777777" w:rsidR="00981DC7" w:rsidRPr="0036788C" w:rsidRDefault="00981DC7" w:rsidP="003F67BC">
            <w:pPr>
              <w:pStyle w:val="Szvegtrzs"/>
              <w:rPr>
                <w:b/>
                <w:iCs/>
              </w:rPr>
            </w:pPr>
          </w:p>
        </w:tc>
        <w:tc>
          <w:tcPr>
            <w:tcW w:w="0" w:type="auto"/>
          </w:tcPr>
          <w:p w14:paraId="0193EB1A" w14:textId="77777777" w:rsidR="00981DC7" w:rsidRPr="0036788C" w:rsidRDefault="00981DC7" w:rsidP="003F67BC">
            <w:pPr>
              <w:pStyle w:val="Szvegtrzs"/>
              <w:rPr>
                <w:b/>
                <w:iCs/>
              </w:rPr>
            </w:pPr>
            <w:proofErr w:type="spellStart"/>
            <w:r w:rsidRPr="0036788C">
              <w:rPr>
                <w:b/>
                <w:iCs/>
              </w:rPr>
              <w:t>Elhasználódási</w:t>
            </w:r>
            <w:proofErr w:type="spellEnd"/>
            <w:r w:rsidRPr="0036788C">
              <w:rPr>
                <w:b/>
                <w:iCs/>
              </w:rPr>
              <w:t xml:space="preserve"> fok</w:t>
            </w:r>
          </w:p>
        </w:tc>
        <w:tc>
          <w:tcPr>
            <w:tcW w:w="0" w:type="auto"/>
          </w:tcPr>
          <w:p w14:paraId="22AEE497" w14:textId="77777777" w:rsidR="00981DC7" w:rsidRPr="0036788C" w:rsidRDefault="00981DC7" w:rsidP="003F67BC">
            <w:pPr>
              <w:pStyle w:val="Szvegtrzs"/>
              <w:jc w:val="center"/>
              <w:rPr>
                <w:b/>
                <w:iCs/>
              </w:rPr>
            </w:pPr>
            <w:r w:rsidRPr="0036788C">
              <w:rPr>
                <w:b/>
                <w:iCs/>
              </w:rPr>
              <w:t>26,73 %</w:t>
            </w:r>
          </w:p>
        </w:tc>
      </w:tr>
      <w:tr w:rsidR="00981DC7" w:rsidRPr="0036788C" w14:paraId="047DE986" w14:textId="77777777" w:rsidTr="003F67BC">
        <w:tc>
          <w:tcPr>
            <w:tcW w:w="0" w:type="auto"/>
            <w:vMerge w:val="restart"/>
          </w:tcPr>
          <w:p w14:paraId="305BC4E2" w14:textId="77777777" w:rsidR="00981DC7" w:rsidRPr="0036788C" w:rsidRDefault="00981DC7" w:rsidP="003F67BC">
            <w:pPr>
              <w:pStyle w:val="Szvegtrzs"/>
              <w:rPr>
                <w:b/>
                <w:iCs/>
              </w:rPr>
            </w:pPr>
          </w:p>
          <w:p w14:paraId="4B9CDB0B" w14:textId="77777777" w:rsidR="00981DC7" w:rsidRPr="0036788C" w:rsidRDefault="00981DC7" w:rsidP="003F67BC">
            <w:pPr>
              <w:pStyle w:val="Szvegtrzs"/>
              <w:rPr>
                <w:b/>
                <w:iCs/>
              </w:rPr>
            </w:pPr>
            <w:r w:rsidRPr="0036788C">
              <w:rPr>
                <w:b/>
                <w:iCs/>
              </w:rPr>
              <w:t>Gépek, berendezések, felszerelések, járművek</w:t>
            </w:r>
          </w:p>
        </w:tc>
        <w:tc>
          <w:tcPr>
            <w:tcW w:w="0" w:type="auto"/>
          </w:tcPr>
          <w:p w14:paraId="5B8C1B62" w14:textId="77777777" w:rsidR="00981DC7" w:rsidRPr="0036788C" w:rsidRDefault="00981DC7" w:rsidP="003F67BC">
            <w:pPr>
              <w:pStyle w:val="Szvegtrzs"/>
              <w:rPr>
                <w:iCs/>
              </w:rPr>
            </w:pPr>
            <w:r w:rsidRPr="0036788C">
              <w:rPr>
                <w:iCs/>
              </w:rPr>
              <w:t>Bruttó érték</w:t>
            </w:r>
          </w:p>
        </w:tc>
        <w:tc>
          <w:tcPr>
            <w:tcW w:w="0" w:type="auto"/>
          </w:tcPr>
          <w:p w14:paraId="290373CB" w14:textId="77777777" w:rsidR="00981DC7" w:rsidRPr="0036788C" w:rsidRDefault="00981DC7" w:rsidP="003F67BC">
            <w:pPr>
              <w:pStyle w:val="Szvegtrzs"/>
              <w:jc w:val="center"/>
              <w:rPr>
                <w:iCs/>
              </w:rPr>
            </w:pPr>
            <w:r w:rsidRPr="0036788C">
              <w:rPr>
                <w:iCs/>
              </w:rPr>
              <w:t>114 029 644</w:t>
            </w:r>
          </w:p>
        </w:tc>
      </w:tr>
      <w:tr w:rsidR="00981DC7" w:rsidRPr="0036788C" w14:paraId="52061657" w14:textId="77777777" w:rsidTr="003F67BC">
        <w:tc>
          <w:tcPr>
            <w:tcW w:w="0" w:type="auto"/>
            <w:vMerge/>
          </w:tcPr>
          <w:p w14:paraId="6D7464B0" w14:textId="77777777" w:rsidR="00981DC7" w:rsidRPr="0036788C" w:rsidRDefault="00981DC7" w:rsidP="003F67BC">
            <w:pPr>
              <w:pStyle w:val="Szvegtrzs"/>
              <w:rPr>
                <w:b/>
                <w:iCs/>
              </w:rPr>
            </w:pPr>
          </w:p>
        </w:tc>
        <w:tc>
          <w:tcPr>
            <w:tcW w:w="0" w:type="auto"/>
          </w:tcPr>
          <w:p w14:paraId="254797D2" w14:textId="77777777" w:rsidR="00981DC7" w:rsidRPr="0036788C" w:rsidRDefault="00981DC7" w:rsidP="003F67BC">
            <w:pPr>
              <w:pStyle w:val="Szvegtrzs"/>
              <w:rPr>
                <w:iCs/>
              </w:rPr>
            </w:pPr>
            <w:r w:rsidRPr="0036788C">
              <w:rPr>
                <w:iCs/>
              </w:rPr>
              <w:t>Értékcsökkenés</w:t>
            </w:r>
          </w:p>
        </w:tc>
        <w:tc>
          <w:tcPr>
            <w:tcW w:w="0" w:type="auto"/>
          </w:tcPr>
          <w:p w14:paraId="46980BB6" w14:textId="77777777" w:rsidR="00981DC7" w:rsidRPr="0036788C" w:rsidRDefault="00981DC7" w:rsidP="003F67BC">
            <w:pPr>
              <w:pStyle w:val="Szvegtrzs"/>
              <w:jc w:val="center"/>
              <w:rPr>
                <w:iCs/>
              </w:rPr>
            </w:pPr>
            <w:r w:rsidRPr="0036788C">
              <w:rPr>
                <w:iCs/>
              </w:rPr>
              <w:t>89 265 281</w:t>
            </w:r>
          </w:p>
        </w:tc>
      </w:tr>
      <w:tr w:rsidR="00981DC7" w:rsidRPr="0036788C" w14:paraId="64A76848" w14:textId="77777777" w:rsidTr="003F67BC">
        <w:tc>
          <w:tcPr>
            <w:tcW w:w="0" w:type="auto"/>
            <w:vMerge/>
          </w:tcPr>
          <w:p w14:paraId="4E93DD8C" w14:textId="77777777" w:rsidR="00981DC7" w:rsidRPr="0036788C" w:rsidRDefault="00981DC7" w:rsidP="003F67BC">
            <w:pPr>
              <w:pStyle w:val="Szvegtrzs"/>
              <w:rPr>
                <w:b/>
                <w:iCs/>
              </w:rPr>
            </w:pPr>
          </w:p>
        </w:tc>
        <w:tc>
          <w:tcPr>
            <w:tcW w:w="0" w:type="auto"/>
          </w:tcPr>
          <w:p w14:paraId="19A72AD0" w14:textId="77777777" w:rsidR="00981DC7" w:rsidRPr="0036788C" w:rsidRDefault="00981DC7" w:rsidP="003F67BC">
            <w:pPr>
              <w:pStyle w:val="Szvegtrzs"/>
              <w:rPr>
                <w:b/>
                <w:iCs/>
              </w:rPr>
            </w:pPr>
            <w:proofErr w:type="spellStart"/>
            <w:r w:rsidRPr="0036788C">
              <w:rPr>
                <w:b/>
                <w:iCs/>
              </w:rPr>
              <w:t>Elhasználódási</w:t>
            </w:r>
            <w:proofErr w:type="spellEnd"/>
            <w:r w:rsidRPr="0036788C">
              <w:rPr>
                <w:b/>
                <w:iCs/>
              </w:rPr>
              <w:t xml:space="preserve"> fok</w:t>
            </w:r>
          </w:p>
        </w:tc>
        <w:tc>
          <w:tcPr>
            <w:tcW w:w="0" w:type="auto"/>
          </w:tcPr>
          <w:p w14:paraId="3D223711" w14:textId="77777777" w:rsidR="00981DC7" w:rsidRPr="0036788C" w:rsidRDefault="00981DC7" w:rsidP="003F67BC">
            <w:pPr>
              <w:pStyle w:val="Szvegtrzs"/>
              <w:jc w:val="center"/>
              <w:rPr>
                <w:b/>
                <w:iCs/>
              </w:rPr>
            </w:pPr>
            <w:r w:rsidRPr="0036788C">
              <w:rPr>
                <w:b/>
                <w:iCs/>
              </w:rPr>
              <w:t>78,28 %</w:t>
            </w:r>
          </w:p>
        </w:tc>
      </w:tr>
      <w:tr w:rsidR="00981DC7" w:rsidRPr="0036788C" w14:paraId="5B070FA2" w14:textId="77777777" w:rsidTr="003F67BC">
        <w:tc>
          <w:tcPr>
            <w:tcW w:w="0" w:type="auto"/>
            <w:vMerge w:val="restart"/>
          </w:tcPr>
          <w:p w14:paraId="05587B96" w14:textId="77777777" w:rsidR="00981DC7" w:rsidRPr="0036788C" w:rsidRDefault="00981DC7" w:rsidP="003F67BC">
            <w:pPr>
              <w:pStyle w:val="Szvegtrzs"/>
              <w:rPr>
                <w:b/>
                <w:iCs/>
              </w:rPr>
            </w:pPr>
          </w:p>
          <w:p w14:paraId="2E89CC69" w14:textId="77777777" w:rsidR="00981DC7" w:rsidRPr="0036788C" w:rsidRDefault="00981DC7" w:rsidP="003F67BC">
            <w:pPr>
              <w:pStyle w:val="Szvegtrzs"/>
              <w:rPr>
                <w:b/>
                <w:iCs/>
              </w:rPr>
            </w:pPr>
            <w:r w:rsidRPr="0036788C">
              <w:rPr>
                <w:b/>
                <w:iCs/>
              </w:rPr>
              <w:t>Eszközök összesen</w:t>
            </w:r>
          </w:p>
        </w:tc>
        <w:tc>
          <w:tcPr>
            <w:tcW w:w="0" w:type="auto"/>
          </w:tcPr>
          <w:p w14:paraId="7773A458" w14:textId="77777777" w:rsidR="00981DC7" w:rsidRPr="0036788C" w:rsidRDefault="00981DC7" w:rsidP="003F67BC">
            <w:pPr>
              <w:pStyle w:val="Szvegtrzs"/>
              <w:rPr>
                <w:iCs/>
              </w:rPr>
            </w:pPr>
            <w:r w:rsidRPr="0036788C">
              <w:rPr>
                <w:iCs/>
              </w:rPr>
              <w:t>Bruttó érték</w:t>
            </w:r>
          </w:p>
        </w:tc>
        <w:tc>
          <w:tcPr>
            <w:tcW w:w="0" w:type="auto"/>
          </w:tcPr>
          <w:p w14:paraId="2A74B9C2" w14:textId="77777777" w:rsidR="00981DC7" w:rsidRPr="0036788C" w:rsidRDefault="00981DC7" w:rsidP="003F67BC">
            <w:pPr>
              <w:pStyle w:val="Szvegtrzs"/>
              <w:jc w:val="center"/>
              <w:rPr>
                <w:iCs/>
              </w:rPr>
            </w:pPr>
            <w:r w:rsidRPr="0036788C">
              <w:rPr>
                <w:iCs/>
              </w:rPr>
              <w:t>1 258 459 797</w:t>
            </w:r>
          </w:p>
        </w:tc>
      </w:tr>
      <w:tr w:rsidR="00981DC7" w:rsidRPr="0036788C" w14:paraId="1DE78DBF" w14:textId="77777777" w:rsidTr="003F67BC">
        <w:tc>
          <w:tcPr>
            <w:tcW w:w="0" w:type="auto"/>
            <w:vMerge/>
          </w:tcPr>
          <w:p w14:paraId="38EF909F" w14:textId="77777777" w:rsidR="00981DC7" w:rsidRPr="0036788C" w:rsidRDefault="00981DC7" w:rsidP="003F67BC">
            <w:pPr>
              <w:pStyle w:val="Szvegtrzs"/>
              <w:rPr>
                <w:iCs/>
              </w:rPr>
            </w:pPr>
          </w:p>
        </w:tc>
        <w:tc>
          <w:tcPr>
            <w:tcW w:w="0" w:type="auto"/>
          </w:tcPr>
          <w:p w14:paraId="598BE446" w14:textId="77777777" w:rsidR="00981DC7" w:rsidRPr="0036788C" w:rsidRDefault="00981DC7" w:rsidP="003F67BC">
            <w:pPr>
              <w:pStyle w:val="Szvegtrzs"/>
              <w:rPr>
                <w:iCs/>
              </w:rPr>
            </w:pPr>
            <w:r w:rsidRPr="0036788C">
              <w:rPr>
                <w:iCs/>
              </w:rPr>
              <w:t>Értékcsökkenés</w:t>
            </w:r>
          </w:p>
        </w:tc>
        <w:tc>
          <w:tcPr>
            <w:tcW w:w="0" w:type="auto"/>
          </w:tcPr>
          <w:p w14:paraId="66C13A54" w14:textId="77777777" w:rsidR="00981DC7" w:rsidRPr="0036788C" w:rsidRDefault="00981DC7" w:rsidP="003F67BC">
            <w:pPr>
              <w:pStyle w:val="Szvegtrzs"/>
              <w:jc w:val="center"/>
              <w:rPr>
                <w:iCs/>
              </w:rPr>
            </w:pPr>
            <w:r w:rsidRPr="0036788C">
              <w:rPr>
                <w:iCs/>
              </w:rPr>
              <w:t>400 661 795</w:t>
            </w:r>
          </w:p>
        </w:tc>
      </w:tr>
      <w:tr w:rsidR="00981DC7" w:rsidRPr="0036788C" w14:paraId="20283815" w14:textId="77777777" w:rsidTr="003F67BC">
        <w:tc>
          <w:tcPr>
            <w:tcW w:w="0" w:type="auto"/>
            <w:vMerge/>
          </w:tcPr>
          <w:p w14:paraId="57359B12" w14:textId="77777777" w:rsidR="00981DC7" w:rsidRPr="0036788C" w:rsidRDefault="00981DC7" w:rsidP="003F67BC">
            <w:pPr>
              <w:pStyle w:val="Szvegtrzs"/>
              <w:rPr>
                <w:iCs/>
              </w:rPr>
            </w:pPr>
          </w:p>
        </w:tc>
        <w:tc>
          <w:tcPr>
            <w:tcW w:w="0" w:type="auto"/>
          </w:tcPr>
          <w:p w14:paraId="3E8AF4B4" w14:textId="77777777" w:rsidR="00981DC7" w:rsidRPr="0036788C" w:rsidRDefault="00981DC7" w:rsidP="003F67BC">
            <w:pPr>
              <w:pStyle w:val="Szvegtrzs"/>
              <w:rPr>
                <w:b/>
                <w:iCs/>
              </w:rPr>
            </w:pPr>
            <w:proofErr w:type="spellStart"/>
            <w:r w:rsidRPr="0036788C">
              <w:rPr>
                <w:b/>
                <w:iCs/>
              </w:rPr>
              <w:t>Elhasználódási</w:t>
            </w:r>
            <w:proofErr w:type="spellEnd"/>
            <w:r w:rsidRPr="0036788C">
              <w:rPr>
                <w:b/>
                <w:iCs/>
              </w:rPr>
              <w:t xml:space="preserve"> fok</w:t>
            </w:r>
          </w:p>
        </w:tc>
        <w:tc>
          <w:tcPr>
            <w:tcW w:w="0" w:type="auto"/>
          </w:tcPr>
          <w:p w14:paraId="73DA7E32" w14:textId="77777777" w:rsidR="00981DC7" w:rsidRPr="0036788C" w:rsidRDefault="00981DC7" w:rsidP="003F67BC">
            <w:pPr>
              <w:pStyle w:val="Szvegtrzs"/>
              <w:jc w:val="center"/>
              <w:rPr>
                <w:b/>
                <w:iCs/>
              </w:rPr>
            </w:pPr>
            <w:r w:rsidRPr="0036788C">
              <w:rPr>
                <w:b/>
                <w:iCs/>
              </w:rPr>
              <w:t>31,84 %</w:t>
            </w:r>
          </w:p>
        </w:tc>
      </w:tr>
    </w:tbl>
    <w:p w14:paraId="41FC311B" w14:textId="77777777" w:rsidR="00981DC7" w:rsidRPr="0036788C" w:rsidRDefault="00981DC7" w:rsidP="00981DC7">
      <w:pPr>
        <w:pStyle w:val="Szvegtrzs"/>
        <w:rPr>
          <w:iCs/>
        </w:rPr>
      </w:pPr>
    </w:p>
    <w:p w14:paraId="02F4AA7C" w14:textId="77777777" w:rsidR="00981DC7" w:rsidRPr="0036788C" w:rsidRDefault="00981DC7" w:rsidP="00981DC7">
      <w:pPr>
        <w:pStyle w:val="Szvegtrzs"/>
        <w:rPr>
          <w:iCs/>
        </w:rPr>
      </w:pPr>
      <w:r w:rsidRPr="0036788C">
        <w:rPr>
          <w:iCs/>
        </w:rPr>
        <w:t xml:space="preserve">Az év során elszámolt </w:t>
      </w:r>
      <w:r w:rsidRPr="0036788C">
        <w:rPr>
          <w:b/>
          <w:bCs/>
          <w:iCs/>
        </w:rPr>
        <w:t>értékcsökkenés összege 40 557 818 Ft</w:t>
      </w:r>
      <w:r w:rsidRPr="0036788C">
        <w:rPr>
          <w:iCs/>
        </w:rPr>
        <w:t xml:space="preserve"> volt, amely az előző évinél közel 6 208 779 Ft-tal magasabb az előző évihez képest, ez köszönhető az idei év jelentős beruházásainak, melyek értékcsökkenése már megjelenik 2019-ben.</w:t>
      </w:r>
    </w:p>
    <w:p w14:paraId="7F3D0A12" w14:textId="77777777" w:rsidR="00981DC7" w:rsidRPr="0036788C" w:rsidRDefault="00981DC7" w:rsidP="00981DC7">
      <w:pPr>
        <w:pStyle w:val="Szvegtrzs"/>
        <w:rPr>
          <w:iCs/>
        </w:rPr>
      </w:pPr>
    </w:p>
    <w:p w14:paraId="63B84921" w14:textId="77777777" w:rsidR="00981DC7" w:rsidRPr="0036788C" w:rsidRDefault="00981DC7" w:rsidP="00981DC7">
      <w:pPr>
        <w:pStyle w:val="Szvegtrzs"/>
        <w:rPr>
          <w:b/>
          <w:bCs/>
          <w:iCs/>
        </w:rPr>
      </w:pPr>
    </w:p>
    <w:p w14:paraId="2FDA59D2" w14:textId="77777777" w:rsidR="00981DC7" w:rsidRPr="0036788C" w:rsidRDefault="00981DC7" w:rsidP="00981DC7">
      <w:pPr>
        <w:pStyle w:val="Szvegtrzs"/>
        <w:rPr>
          <w:b/>
          <w:bCs/>
          <w:iCs/>
        </w:rPr>
      </w:pPr>
      <w:r w:rsidRPr="0036788C">
        <w:rPr>
          <w:b/>
          <w:bCs/>
          <w:iCs/>
        </w:rPr>
        <w:t>Önkormányzati részesedések</w:t>
      </w:r>
    </w:p>
    <w:p w14:paraId="66B4972B" w14:textId="77777777" w:rsidR="00981DC7" w:rsidRPr="0036788C" w:rsidRDefault="00981DC7" w:rsidP="00981DC7">
      <w:pPr>
        <w:pStyle w:val="Szvegtrzs"/>
        <w:rPr>
          <w:iCs/>
        </w:rPr>
      </w:pPr>
    </w:p>
    <w:p w14:paraId="39182A35" w14:textId="77777777" w:rsidR="00981DC7" w:rsidRPr="0036788C" w:rsidRDefault="00981DC7" w:rsidP="00981DC7">
      <w:pPr>
        <w:pStyle w:val="Szvegtrzs"/>
        <w:rPr>
          <w:iCs/>
        </w:rPr>
      </w:pPr>
      <w:r w:rsidRPr="0036788C">
        <w:rPr>
          <w:iCs/>
        </w:rPr>
        <w:t>Az önkormányzati tulajdonban lévő gazdasági társaságokban az önkormányzat részesedését a 23. melléklet tartalmazza gazdasági társaságonként.</w:t>
      </w:r>
    </w:p>
    <w:p w14:paraId="6F180812" w14:textId="77777777" w:rsidR="00981DC7" w:rsidRPr="0036788C" w:rsidRDefault="00981DC7" w:rsidP="00981DC7">
      <w:pPr>
        <w:pStyle w:val="Szvegtrzs"/>
        <w:rPr>
          <w:iCs/>
        </w:rPr>
      </w:pPr>
      <w:r w:rsidRPr="0036788C">
        <w:rPr>
          <w:iCs/>
        </w:rPr>
        <w:t xml:space="preserve">A Dunaág Kft.-t, melyben az önkormányzatnak 3.900.000 Ft értékű üzletrésze volt, a cégbíróság megszűntnek nyilvánította. </w:t>
      </w:r>
    </w:p>
    <w:p w14:paraId="07FA8C0F" w14:textId="77777777" w:rsidR="00981DC7" w:rsidRPr="0036788C" w:rsidRDefault="00981DC7" w:rsidP="00981DC7">
      <w:pPr>
        <w:pStyle w:val="Szvegtrzs"/>
        <w:rPr>
          <w:iCs/>
        </w:rPr>
      </w:pPr>
    </w:p>
    <w:p w14:paraId="31DBD61F" w14:textId="77777777" w:rsidR="00981DC7" w:rsidRPr="0036788C" w:rsidRDefault="00981DC7" w:rsidP="00981DC7">
      <w:pPr>
        <w:pStyle w:val="Szvegtrzs"/>
        <w:rPr>
          <w:iCs/>
          <w:u w:val="single"/>
        </w:rPr>
      </w:pPr>
      <w:r w:rsidRPr="0036788C">
        <w:rPr>
          <w:iCs/>
        </w:rPr>
        <w:t xml:space="preserve">A fenti adatok alapján megállapítható, hogy </w:t>
      </w:r>
      <w:r w:rsidRPr="0036788C">
        <w:rPr>
          <w:b/>
          <w:bCs/>
          <w:iCs/>
        </w:rPr>
        <w:t>az önkormányzat a vagyonával felelősen gazdálkodott, az értékcsökkenést meghaladó mértékben fejlesztette</w:t>
      </w:r>
      <w:r w:rsidRPr="0036788C">
        <w:rPr>
          <w:iCs/>
        </w:rPr>
        <w:t>.</w:t>
      </w:r>
    </w:p>
    <w:p w14:paraId="377E1098" w14:textId="77777777" w:rsidR="00D841BA" w:rsidRPr="00981DC7" w:rsidRDefault="00D841BA" w:rsidP="00981DC7"/>
    <w:sectPr w:rsidR="00D841BA" w:rsidRPr="00981D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BC2139"/>
    <w:multiLevelType w:val="hybridMultilevel"/>
    <w:tmpl w:val="F32ED48A"/>
    <w:lvl w:ilvl="0" w:tplc="E104E2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1BA"/>
    <w:rsid w:val="005B49F5"/>
    <w:rsid w:val="00981DC7"/>
    <w:rsid w:val="00D84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C8D0D"/>
  <w15:chartTrackingRefBased/>
  <w15:docId w15:val="{0CA8D839-EF0E-47EC-B17F-6B27FA865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841B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Cmsor1">
    <w:name w:val="heading 1"/>
    <w:basedOn w:val="Norml"/>
    <w:next w:val="Norml"/>
    <w:link w:val="Cmsor1Char"/>
    <w:uiPriority w:val="99"/>
    <w:qFormat/>
    <w:rsid w:val="00981DC7"/>
    <w:pPr>
      <w:keepNext/>
      <w:overflowPunct/>
      <w:autoSpaceDE/>
      <w:autoSpaceDN/>
      <w:adjustRightInd/>
      <w:textAlignment w:val="auto"/>
      <w:outlineLvl w:val="0"/>
    </w:pPr>
    <w:rPr>
      <w:rFonts w:eastAsia="MS Mincho"/>
      <w:b/>
      <w:b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D841B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uiPriority w:val="99"/>
    <w:rsid w:val="00981DC7"/>
    <w:rPr>
      <w:rFonts w:ascii="Times New Roman" w:eastAsia="MS Mincho" w:hAnsi="Times New Roman" w:cs="Times New Roman"/>
      <w:b/>
      <w:bCs/>
      <w:sz w:val="24"/>
      <w:szCs w:val="24"/>
      <w:lang w:eastAsia="hu-HU"/>
    </w:rPr>
  </w:style>
  <w:style w:type="paragraph" w:styleId="Szvegtrzs">
    <w:name w:val="Body Text"/>
    <w:basedOn w:val="Norml"/>
    <w:link w:val="SzvegtrzsChar"/>
    <w:uiPriority w:val="99"/>
    <w:rsid w:val="00981DC7"/>
    <w:pPr>
      <w:overflowPunct/>
      <w:autoSpaceDE/>
      <w:autoSpaceDN/>
      <w:adjustRightInd/>
      <w:jc w:val="both"/>
      <w:textAlignment w:val="auto"/>
    </w:pPr>
    <w:rPr>
      <w:rFonts w:eastAsia="MS Mincho"/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uiPriority w:val="99"/>
    <w:rsid w:val="00981DC7"/>
    <w:rPr>
      <w:rFonts w:ascii="Times New Roman" w:eastAsia="MS Mincho" w:hAnsi="Times New Roman" w:cs="Times New Roman"/>
      <w:sz w:val="24"/>
      <w:szCs w:val="24"/>
      <w:lang w:eastAsia="hu-HU"/>
    </w:rPr>
  </w:style>
  <w:style w:type="paragraph" w:styleId="NormlWeb">
    <w:name w:val="Normal (Web)"/>
    <w:basedOn w:val="Norml"/>
    <w:uiPriority w:val="99"/>
    <w:rsid w:val="00981DC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table" w:styleId="Rcsostblzat">
    <w:name w:val="Table Grid"/>
    <w:basedOn w:val="Normltblzat"/>
    <w:rsid w:val="00981DC7"/>
    <w:pPr>
      <w:spacing w:after="0" w:line="240" w:lineRule="auto"/>
    </w:pPr>
    <w:rPr>
      <w:rFonts w:ascii="Times New Roman" w:eastAsia="Times New Roman" w:hAnsi="Times New Roman" w:cs="Times New Roman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hu-H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Munka1!$B$1</c:f>
              <c:strCache>
                <c:ptCount val="1"/>
                <c:pt idx="0">
                  <c:v>Bevételek megoszlása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A896-446C-B1B8-5FF3EFC8D11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A896-446C-B1B8-5FF3EFC8D112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A896-446C-B1B8-5FF3EFC8D112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A896-446C-B1B8-5FF3EFC8D112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A896-446C-B1B8-5FF3EFC8D112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A896-446C-B1B8-5FF3EFC8D112}"/>
              </c:ext>
            </c:extLst>
          </c:dPt>
          <c:dPt>
            <c:idx val="6"/>
            <c:bubble3D val="0"/>
            <c:spPr>
              <a:solidFill>
                <a:srgbClr val="FFFF0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A896-446C-B1B8-5FF3EFC8D112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hu-H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Munka1!$A$2:$A$8</c:f>
              <c:strCache>
                <c:ptCount val="7"/>
                <c:pt idx="0">
                  <c:v>Önkormányzat működési támogatása</c:v>
                </c:pt>
                <c:pt idx="1">
                  <c:v>Működési támogatások ÁH-n belülről</c:v>
                </c:pt>
                <c:pt idx="2">
                  <c:v>Felhalmozási támogatások ÁH-n belülről</c:v>
                </c:pt>
                <c:pt idx="3">
                  <c:v>Közhatalmi bevételek</c:v>
                </c:pt>
                <c:pt idx="4">
                  <c:v>Működési bevételek</c:v>
                </c:pt>
                <c:pt idx="5">
                  <c:v>Felhalmozási bevételek</c:v>
                </c:pt>
                <c:pt idx="6">
                  <c:v>Finanszírozási bevételek</c:v>
                </c:pt>
              </c:strCache>
            </c:strRef>
          </c:cat>
          <c:val>
            <c:numRef>
              <c:f>Munka1!$B$2:$B$8</c:f>
              <c:numCache>
                <c:formatCode>General</c:formatCode>
                <c:ptCount val="7"/>
                <c:pt idx="0">
                  <c:v>25.59</c:v>
                </c:pt>
                <c:pt idx="1">
                  <c:v>5.26</c:v>
                </c:pt>
                <c:pt idx="2">
                  <c:v>12.83</c:v>
                </c:pt>
                <c:pt idx="3">
                  <c:v>16.989999999999998</c:v>
                </c:pt>
                <c:pt idx="4">
                  <c:v>7.97</c:v>
                </c:pt>
                <c:pt idx="5">
                  <c:v>2.41</c:v>
                </c:pt>
                <c:pt idx="6">
                  <c:v>28.95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A896-446C-B1B8-5FF3EFC8D112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6426614730821776"/>
          <c:y val="1.5507752252617921E-2"/>
          <c:w val="0.3235942472289598"/>
          <c:h val="0.9844922477473820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hu-H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hu-H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hu-H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Munka1!$B$1</c:f>
              <c:strCache>
                <c:ptCount val="1"/>
                <c:pt idx="0">
                  <c:v>Kiadások megoszlása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4BF6-4EFE-A5BB-6097559EBB6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4BF6-4EFE-A5BB-6097559EBB62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4BF6-4EFE-A5BB-6097559EBB62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4BF6-4EFE-A5BB-6097559EBB62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4BF6-4EFE-A5BB-6097559EBB62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4BF6-4EFE-A5BB-6097559EBB62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4BF6-4EFE-A5BB-6097559EBB62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F-4BF6-4EFE-A5BB-6097559EBB62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1-4BF6-4EFE-A5BB-6097559EBB62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hu-H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Munka1!$A$2:$A$10</c:f>
              <c:strCache>
                <c:ptCount val="9"/>
                <c:pt idx="0">
                  <c:v>Személyi juttatások</c:v>
                </c:pt>
                <c:pt idx="1">
                  <c:v>Járulékok</c:v>
                </c:pt>
                <c:pt idx="2">
                  <c:v>Dologi kiadások</c:v>
                </c:pt>
                <c:pt idx="3">
                  <c:v>Ellátottak pénzbeli juttatásai</c:v>
                </c:pt>
                <c:pt idx="4">
                  <c:v>Egyéb működési kiadások</c:v>
                </c:pt>
                <c:pt idx="5">
                  <c:v>Beruházások</c:v>
                </c:pt>
                <c:pt idx="6">
                  <c:v>Felújítások</c:v>
                </c:pt>
                <c:pt idx="7">
                  <c:v>Egyéb felhalmozási kiadások</c:v>
                </c:pt>
                <c:pt idx="8">
                  <c:v>Finanszírozási kiadások</c:v>
                </c:pt>
              </c:strCache>
            </c:strRef>
          </c:cat>
          <c:val>
            <c:numRef>
              <c:f>Munka1!$B$2:$B$10</c:f>
              <c:numCache>
                <c:formatCode>General</c:formatCode>
                <c:ptCount val="9"/>
                <c:pt idx="0">
                  <c:v>127114706</c:v>
                </c:pt>
                <c:pt idx="1">
                  <c:v>23719620</c:v>
                </c:pt>
                <c:pt idx="2">
                  <c:v>116852052</c:v>
                </c:pt>
                <c:pt idx="3">
                  <c:v>2316468</c:v>
                </c:pt>
                <c:pt idx="4">
                  <c:v>8708896</c:v>
                </c:pt>
                <c:pt idx="5">
                  <c:v>8921212</c:v>
                </c:pt>
                <c:pt idx="6">
                  <c:v>100877620</c:v>
                </c:pt>
                <c:pt idx="7">
                  <c:v>400000</c:v>
                </c:pt>
                <c:pt idx="8">
                  <c:v>4649687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2-4BF6-4EFE-A5BB-6097559EBB62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5292523330417029"/>
          <c:y val="6.4059905897589586E-2"/>
          <c:w val="0.33318587780694081"/>
          <c:h val="0.9359400941024104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hu-H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hu-H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1460</Words>
  <Characters>10079</Characters>
  <Application>Microsoft Office Word</Application>
  <DocSecurity>0</DocSecurity>
  <Lines>83</Lines>
  <Paragraphs>23</Paragraphs>
  <ScaleCrop>false</ScaleCrop>
  <Company/>
  <LinksUpToDate>false</LinksUpToDate>
  <CharactersWithSpaces>11516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Marcsi</dc:creator>
  <cp:keywords/>
  <dc:description/>
  <cp:lastModifiedBy>Marcsi</cp:lastModifiedBy>
  <cp:revision>3</cp:revision>
  <dcterms:created xsi:type="dcterms:W3CDTF">2020-07-02T09:06:00Z</dcterms:created>
  <dcterms:modified xsi:type="dcterms:W3CDTF">2020-07-02T09:06:00Z</dcterms:modified>
</cp:coreProperties>
</file>