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8A" w:rsidRPr="001F228A" w:rsidRDefault="001F228A" w:rsidP="001F228A">
      <w:pPr>
        <w:jc w:val="center"/>
        <w:rPr>
          <w:rFonts w:eastAsia="Times New Roman"/>
          <w:b/>
          <w:lang w:eastAsia="ar-SA"/>
        </w:rPr>
      </w:pPr>
      <w:r w:rsidRPr="001F228A">
        <w:rPr>
          <w:rFonts w:eastAsia="Times New Roman"/>
          <w:b/>
          <w:lang w:eastAsia="ar-SA"/>
        </w:rPr>
        <w:t xml:space="preserve">Kismarja Község Önkormányzata </w:t>
      </w:r>
    </w:p>
    <w:p w:rsidR="001F228A" w:rsidRPr="001F228A" w:rsidRDefault="001F228A" w:rsidP="001F228A">
      <w:pPr>
        <w:suppressAutoHyphens/>
        <w:jc w:val="center"/>
        <w:rPr>
          <w:rFonts w:eastAsia="Times New Roman"/>
          <w:b/>
          <w:lang w:eastAsia="ar-SA"/>
        </w:rPr>
      </w:pPr>
      <w:r w:rsidRPr="001F228A">
        <w:rPr>
          <w:rFonts w:eastAsia="Times New Roman"/>
          <w:b/>
          <w:lang w:eastAsia="ar-SA"/>
        </w:rPr>
        <w:t>Képviselő-testületének</w:t>
      </w:r>
    </w:p>
    <w:p w:rsidR="001F228A" w:rsidRPr="001F228A" w:rsidRDefault="001F228A" w:rsidP="001F228A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lang w:eastAsia="ar-SA"/>
        </w:rPr>
      </w:pPr>
      <w:r w:rsidRPr="001F228A">
        <w:rPr>
          <w:rFonts w:eastAsia="Times New Roman"/>
          <w:b/>
          <w:caps/>
          <w:lang w:eastAsia="ar-SA"/>
        </w:rPr>
        <w:t xml:space="preserve">5/2019. (IV. 30. ) ÖR. </w:t>
      </w:r>
      <w:r w:rsidRPr="001F228A">
        <w:rPr>
          <w:rFonts w:eastAsia="Times New Roman"/>
          <w:b/>
          <w:lang w:eastAsia="ar-SA"/>
        </w:rPr>
        <w:t>számú zárszámadási rendelete</w:t>
      </w:r>
    </w:p>
    <w:p w:rsidR="001F228A" w:rsidRPr="001F228A" w:rsidRDefault="001F228A" w:rsidP="001F228A">
      <w:pPr>
        <w:suppressAutoHyphens/>
        <w:overflowPunct w:val="0"/>
        <w:autoSpaceDE w:val="0"/>
        <w:jc w:val="center"/>
        <w:textAlignment w:val="baseline"/>
        <w:rPr>
          <w:rFonts w:eastAsia="Times New Roman"/>
          <w:b/>
          <w:lang w:eastAsia="ar-SA"/>
        </w:rPr>
      </w:pPr>
      <w:proofErr w:type="gramStart"/>
      <w:r w:rsidRPr="001F228A">
        <w:rPr>
          <w:rFonts w:eastAsia="Times New Roman"/>
          <w:b/>
          <w:lang w:eastAsia="ar-SA"/>
        </w:rPr>
        <w:t>az</w:t>
      </w:r>
      <w:proofErr w:type="gramEnd"/>
      <w:r w:rsidRPr="001F228A">
        <w:rPr>
          <w:rFonts w:eastAsia="Times New Roman"/>
          <w:b/>
          <w:lang w:eastAsia="ar-SA"/>
        </w:rPr>
        <w:t xml:space="preserve"> Önkormányzat 2018. évi költségvetésének végrehajtásáról</w:t>
      </w:r>
    </w:p>
    <w:p w:rsidR="001F228A" w:rsidRPr="001F228A" w:rsidRDefault="001F228A" w:rsidP="001F228A">
      <w:pPr>
        <w:suppressAutoHyphens/>
        <w:overflowPunct w:val="0"/>
        <w:autoSpaceDE w:val="0"/>
        <w:jc w:val="both"/>
        <w:textAlignment w:val="baseline"/>
        <w:rPr>
          <w:rFonts w:eastAsia="Times New Roman"/>
          <w:lang w:eastAsia="ar-SA"/>
        </w:rPr>
      </w:pPr>
    </w:p>
    <w:p w:rsidR="001F228A" w:rsidRPr="001F228A" w:rsidRDefault="001F228A" w:rsidP="001F228A">
      <w:pPr>
        <w:suppressAutoHyphens/>
        <w:overflowPunct w:val="0"/>
        <w:autoSpaceDE w:val="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Kismarja Község Önkormányzatának Képviselő-testülete az Alaptörvény 32. cikk (2) bekezdésében meghatározott eredeti jogalkotói hatáskörében és az Alaptörvény 32. cikk (1) bekezdésének f) pontjában meghatározott feladatkörében eljárva a következőket rendeli el: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center"/>
        <w:textAlignment w:val="baseline"/>
        <w:rPr>
          <w:rFonts w:eastAsia="Times New Roman"/>
          <w:b/>
          <w:lang w:eastAsia="ar-SA"/>
        </w:rPr>
      </w:pPr>
      <w:r w:rsidRPr="001F228A">
        <w:rPr>
          <w:rFonts w:eastAsia="Times New Roman"/>
          <w:b/>
          <w:lang w:eastAsia="ar-SA"/>
        </w:rPr>
        <w:t>1. §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(1) Az Önkormányzat költségvetési szervei az alábbiak:</w:t>
      </w:r>
    </w:p>
    <w:p w:rsidR="001F228A" w:rsidRPr="001F228A" w:rsidRDefault="001F228A" w:rsidP="001F228A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Kismarja Község Önkormányzata</w:t>
      </w:r>
    </w:p>
    <w:p w:rsidR="001F228A" w:rsidRPr="001F228A" w:rsidRDefault="001F228A" w:rsidP="001F228A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Kismarjai Idősek Otthona</w:t>
      </w:r>
    </w:p>
    <w:p w:rsidR="001F228A" w:rsidRPr="001F228A" w:rsidRDefault="001F228A" w:rsidP="001F228A">
      <w:pPr>
        <w:numPr>
          <w:ilvl w:val="0"/>
          <w:numId w:val="1"/>
        </w:num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Kismarja Konyha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(2) Az (1) bekezdésben feltüntetett önállóan működő és gazdálkodó költségvetési szervek külön-külön címet alkotnak.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(3) Az önkormányzat képviselő-testülete a 2018. évi költségvetés végrehajtásáról szóló zárszámadást </w:t>
      </w:r>
    </w:p>
    <w:tbl>
      <w:tblPr>
        <w:tblW w:w="0" w:type="auto"/>
        <w:tblInd w:w="14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73"/>
      </w:tblGrid>
      <w:tr w:rsidR="001F228A" w:rsidRPr="001F228A" w:rsidTr="00663F29">
        <w:trPr>
          <w:trHeight w:val="340"/>
        </w:trPr>
        <w:tc>
          <w:tcPr>
            <w:tcW w:w="2552" w:type="dxa"/>
            <w:shd w:val="clear" w:color="auto" w:fill="auto"/>
          </w:tcPr>
          <w:p w:rsidR="001F228A" w:rsidRPr="001F228A" w:rsidRDefault="001F228A" w:rsidP="001F228A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/>
                <w:b/>
                <w:lang w:eastAsia="ar-SA"/>
              </w:rPr>
            </w:pPr>
            <w:r w:rsidRPr="001F228A">
              <w:rPr>
                <w:rFonts w:eastAsia="Times New Roman"/>
                <w:b/>
                <w:lang w:eastAsia="ar-SA"/>
              </w:rPr>
              <w:t xml:space="preserve">               493 537 200 Ft </w:t>
            </w:r>
          </w:p>
        </w:tc>
        <w:tc>
          <w:tcPr>
            <w:tcW w:w="3473" w:type="dxa"/>
            <w:shd w:val="clear" w:color="auto" w:fill="auto"/>
          </w:tcPr>
          <w:p w:rsidR="001F228A" w:rsidRPr="001F228A" w:rsidRDefault="001F228A" w:rsidP="001F228A">
            <w:p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b/>
                <w:lang w:eastAsia="ar-SA"/>
              </w:rPr>
            </w:pPr>
            <w:r w:rsidRPr="001F228A">
              <w:rPr>
                <w:rFonts w:eastAsia="Times New Roman"/>
                <w:b/>
                <w:lang w:eastAsia="ar-SA"/>
              </w:rPr>
              <w:t>Költségvetési bevétellel</w:t>
            </w:r>
          </w:p>
        </w:tc>
      </w:tr>
      <w:tr w:rsidR="001F228A" w:rsidRPr="001F228A" w:rsidTr="00663F29">
        <w:trPr>
          <w:trHeight w:val="340"/>
        </w:trPr>
        <w:tc>
          <w:tcPr>
            <w:tcW w:w="2552" w:type="dxa"/>
            <w:tcBorders>
              <w:bottom w:val="single" w:sz="8" w:space="0" w:color="000000"/>
            </w:tcBorders>
            <w:shd w:val="clear" w:color="auto" w:fill="auto"/>
          </w:tcPr>
          <w:p w:rsidR="001F228A" w:rsidRPr="001F228A" w:rsidRDefault="001F228A" w:rsidP="001F228A">
            <w:pPr>
              <w:suppressAutoHyphens/>
              <w:overflowPunct w:val="0"/>
              <w:autoSpaceDE w:val="0"/>
              <w:snapToGrid w:val="0"/>
              <w:jc w:val="right"/>
              <w:textAlignment w:val="baseline"/>
              <w:rPr>
                <w:rFonts w:eastAsia="Times New Roman"/>
                <w:b/>
                <w:lang w:eastAsia="ar-SA"/>
              </w:rPr>
            </w:pPr>
            <w:r w:rsidRPr="001F228A">
              <w:rPr>
                <w:rFonts w:eastAsia="Times New Roman"/>
                <w:b/>
                <w:lang w:eastAsia="ar-SA"/>
              </w:rPr>
              <w:t xml:space="preserve">       468 806 271 Ft</w:t>
            </w:r>
          </w:p>
        </w:tc>
        <w:tc>
          <w:tcPr>
            <w:tcW w:w="3473" w:type="dxa"/>
            <w:tcBorders>
              <w:bottom w:val="single" w:sz="8" w:space="0" w:color="000000"/>
            </w:tcBorders>
            <w:shd w:val="clear" w:color="auto" w:fill="auto"/>
          </w:tcPr>
          <w:p w:rsidR="001F228A" w:rsidRPr="001F228A" w:rsidRDefault="001F228A" w:rsidP="001F228A">
            <w:p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b/>
                <w:lang w:eastAsia="ar-SA"/>
              </w:rPr>
            </w:pPr>
            <w:r w:rsidRPr="001F228A">
              <w:rPr>
                <w:rFonts w:eastAsia="Times New Roman"/>
                <w:b/>
                <w:lang w:eastAsia="ar-SA"/>
              </w:rPr>
              <w:t>Költségvetési kiadással</w:t>
            </w:r>
          </w:p>
        </w:tc>
      </w:tr>
      <w:tr w:rsidR="001F228A" w:rsidRPr="001F228A" w:rsidTr="00663F29">
        <w:tc>
          <w:tcPr>
            <w:tcW w:w="2552" w:type="dxa"/>
            <w:tcBorders>
              <w:top w:val="single" w:sz="8" w:space="0" w:color="000000"/>
            </w:tcBorders>
            <w:shd w:val="clear" w:color="auto" w:fill="auto"/>
          </w:tcPr>
          <w:p w:rsidR="001F228A" w:rsidRPr="001F228A" w:rsidRDefault="001F228A" w:rsidP="001F228A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Times New Roman"/>
                <w:b/>
                <w:lang w:eastAsia="ar-SA"/>
              </w:rPr>
            </w:pPr>
            <w:r w:rsidRPr="001F228A">
              <w:rPr>
                <w:rFonts w:eastAsia="Times New Roman"/>
                <w:b/>
                <w:lang w:eastAsia="ar-SA"/>
              </w:rPr>
              <w:t xml:space="preserve">                          </w:t>
            </w:r>
          </w:p>
        </w:tc>
        <w:tc>
          <w:tcPr>
            <w:tcW w:w="3473" w:type="dxa"/>
            <w:tcBorders>
              <w:top w:val="single" w:sz="8" w:space="0" w:color="000000"/>
            </w:tcBorders>
            <w:shd w:val="clear" w:color="auto" w:fill="auto"/>
          </w:tcPr>
          <w:p w:rsidR="001F228A" w:rsidRPr="001F228A" w:rsidRDefault="001F228A" w:rsidP="001F228A">
            <w:pPr>
              <w:suppressAutoHyphens/>
              <w:overflowPunct w:val="0"/>
              <w:autoSpaceDE w:val="0"/>
              <w:snapToGrid w:val="0"/>
              <w:jc w:val="both"/>
              <w:textAlignment w:val="baseline"/>
              <w:rPr>
                <w:rFonts w:eastAsia="Times New Roman"/>
                <w:b/>
                <w:lang w:eastAsia="ar-SA"/>
              </w:rPr>
            </w:pPr>
          </w:p>
        </w:tc>
      </w:tr>
    </w:tbl>
    <w:p w:rsidR="001F228A" w:rsidRPr="001F228A" w:rsidRDefault="001F228A" w:rsidP="001F228A">
      <w:pPr>
        <w:suppressAutoHyphens/>
        <w:overflowPunct w:val="0"/>
        <w:autoSpaceDE w:val="0"/>
        <w:jc w:val="both"/>
        <w:textAlignment w:val="baseline"/>
        <w:rPr>
          <w:rFonts w:eastAsia="Times New Roman"/>
          <w:lang w:eastAsia="ar-SA"/>
        </w:rPr>
      </w:pPr>
      <w:proofErr w:type="gramStart"/>
      <w:r w:rsidRPr="001F228A">
        <w:rPr>
          <w:rFonts w:eastAsia="Times New Roman"/>
          <w:lang w:eastAsia="ar-SA"/>
        </w:rPr>
        <w:t>hagyja</w:t>
      </w:r>
      <w:proofErr w:type="gramEnd"/>
      <w:r w:rsidRPr="001F228A">
        <w:rPr>
          <w:rFonts w:eastAsia="Times New Roman"/>
          <w:lang w:eastAsia="ar-SA"/>
        </w:rPr>
        <w:t xml:space="preserve"> jóvá.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ind w:left="6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(4) Az önkormányzat és költségvetési szervének mérlegszerűen bemutatott kiadásait, bevételeit önkormányzati szinten az </w:t>
      </w:r>
      <w:r w:rsidRPr="001F228A">
        <w:rPr>
          <w:rFonts w:eastAsia="Times New Roman"/>
          <w:i/>
          <w:lang w:eastAsia="ar-SA"/>
        </w:rPr>
        <w:t>1.1. mellékletben</w:t>
      </w:r>
      <w:r w:rsidRPr="001F228A">
        <w:rPr>
          <w:rFonts w:eastAsia="Times New Roman"/>
          <w:lang w:eastAsia="ar-SA"/>
        </w:rPr>
        <w:t xml:space="preserve"> foglaltaknak megfelelően fogadja el. 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 (5) A működési bevételek és kiadások, valamint a felhalmozási célú bevételek és kiadások mérlegét a </w:t>
      </w:r>
      <w:r w:rsidRPr="001F228A">
        <w:rPr>
          <w:rFonts w:eastAsia="Times New Roman"/>
          <w:i/>
          <w:lang w:eastAsia="ar-SA"/>
        </w:rPr>
        <w:t>2.1. és a 2.2. melléklet</w:t>
      </w:r>
      <w:r w:rsidRPr="001F228A">
        <w:rPr>
          <w:rFonts w:eastAsia="Times New Roman"/>
          <w:lang w:eastAsia="ar-SA"/>
        </w:rPr>
        <w:t xml:space="preserve"> szerint fogadja el.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center"/>
        <w:textAlignment w:val="baseline"/>
        <w:rPr>
          <w:rFonts w:eastAsia="Times New Roman"/>
          <w:b/>
          <w:lang w:eastAsia="ar-SA"/>
        </w:rPr>
      </w:pPr>
      <w:r w:rsidRPr="001F228A">
        <w:rPr>
          <w:rFonts w:eastAsia="Times New Roman"/>
          <w:b/>
          <w:lang w:eastAsia="ar-SA"/>
        </w:rPr>
        <w:t>2. §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A képviselő-testület az Önkormányzat 2018. évi zárszámadását részletesen a következők szerint fogadja el: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(1) Az önkormányzat beruházási kiadásokat a </w:t>
      </w:r>
      <w:r w:rsidRPr="001F228A">
        <w:rPr>
          <w:rFonts w:eastAsia="Times New Roman"/>
          <w:i/>
          <w:lang w:eastAsia="ar-SA"/>
        </w:rPr>
        <w:t>3. melléklet</w:t>
      </w:r>
      <w:r w:rsidRPr="001F228A">
        <w:rPr>
          <w:rFonts w:eastAsia="Times New Roman"/>
          <w:lang w:eastAsia="ar-SA"/>
        </w:rPr>
        <w:t xml:space="preserve"> szerint hagyja jóvá. 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(2) Az önkormányzat bevételi és kiadási előirányzatainak teljesítését a </w:t>
      </w:r>
      <w:r w:rsidRPr="001F228A">
        <w:rPr>
          <w:rFonts w:eastAsia="Times New Roman"/>
          <w:i/>
          <w:lang w:eastAsia="ar-SA"/>
        </w:rPr>
        <w:t>6.1. mellékletekben</w:t>
      </w:r>
      <w:r w:rsidRPr="001F228A">
        <w:rPr>
          <w:rFonts w:eastAsia="Times New Roman"/>
          <w:lang w:eastAsia="ar-SA"/>
        </w:rPr>
        <w:t xml:space="preserve"> foglaltaknak megfelelően hagyja jóvá.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(3) A bevételi és kiadási előirányzatainak teljesítését kötelezően kötelező feladatokra és önként vállalt feladatokra megbontva a </w:t>
      </w:r>
      <w:r w:rsidRPr="001F228A">
        <w:rPr>
          <w:rFonts w:eastAsia="Times New Roman"/>
          <w:i/>
          <w:lang w:eastAsia="ar-SA"/>
        </w:rPr>
        <w:t>6.2. mellékletekben</w:t>
      </w:r>
      <w:r w:rsidRPr="001F228A">
        <w:rPr>
          <w:rFonts w:eastAsia="Times New Roman"/>
          <w:lang w:eastAsia="ar-SA"/>
        </w:rPr>
        <w:t xml:space="preserve"> foglaltak szerint fogadja el.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(4) Vagyonkimutatás a könyvviteli mérlegben értékkel szereplő eszközökről adatait a 7.1., a Vagyonkimutatás a könyvviteli mérlegben értékkel </w:t>
      </w:r>
      <w:proofErr w:type="gramStart"/>
      <w:r w:rsidRPr="001F228A">
        <w:rPr>
          <w:rFonts w:eastAsia="Times New Roman"/>
          <w:lang w:eastAsia="ar-SA"/>
        </w:rPr>
        <w:t>szereplő forrásokról</w:t>
      </w:r>
      <w:proofErr w:type="gramEnd"/>
      <w:r w:rsidRPr="001F228A">
        <w:rPr>
          <w:rFonts w:eastAsia="Times New Roman"/>
          <w:lang w:eastAsia="ar-SA"/>
        </w:rPr>
        <w:t xml:space="preserve"> a 7.2. mellékletek tartalmazzák.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center"/>
        <w:textAlignment w:val="baseline"/>
        <w:rPr>
          <w:rFonts w:eastAsia="Times New Roman"/>
          <w:b/>
          <w:lang w:eastAsia="ar-SA"/>
        </w:rPr>
      </w:pPr>
      <w:r w:rsidRPr="001F228A">
        <w:rPr>
          <w:rFonts w:eastAsia="Times New Roman"/>
          <w:b/>
          <w:lang w:eastAsia="ar-SA"/>
        </w:rPr>
        <w:t>3. §.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(1) A képviselő-testület utasítja az önkormányzat jegyzőjét, hogy a költségvetési maradványt érintő fizetési kötelezettségek teljesítését biztosítsa, illetve kísérje figyelemmel.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(2) Az önkormányzat jegyzője és a költségvetési szervek vezetői a költségvetési maradványnak a 2018. évi előirányzatokon történő átvezetéséről gondoskodni kötelesek.</w:t>
      </w:r>
    </w:p>
    <w:p w:rsidR="001F228A" w:rsidRPr="001F228A" w:rsidRDefault="001F228A" w:rsidP="001F228A">
      <w:pPr>
        <w:keepNext/>
        <w:keepLines/>
        <w:suppressAutoHyphens/>
        <w:overflowPunct w:val="0"/>
        <w:autoSpaceDE w:val="0"/>
        <w:spacing w:before="120"/>
        <w:jc w:val="center"/>
        <w:textAlignment w:val="baseline"/>
        <w:rPr>
          <w:rFonts w:eastAsia="Times New Roman"/>
          <w:b/>
          <w:lang w:eastAsia="ar-SA"/>
        </w:rPr>
      </w:pPr>
      <w:r w:rsidRPr="001F228A">
        <w:rPr>
          <w:rFonts w:eastAsia="Times New Roman"/>
          <w:b/>
          <w:lang w:eastAsia="ar-SA"/>
        </w:rPr>
        <w:lastRenderedPageBreak/>
        <w:t>4. §</w:t>
      </w:r>
    </w:p>
    <w:p w:rsidR="001F228A" w:rsidRPr="001F228A" w:rsidRDefault="001F228A" w:rsidP="001F228A">
      <w:pPr>
        <w:keepNext/>
        <w:keepLines/>
        <w:suppressAutoHyphens/>
        <w:overflowPunct w:val="0"/>
        <w:autoSpaceDE w:val="0"/>
        <w:spacing w:before="120"/>
        <w:jc w:val="both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A képviselő-testület utasítja az önkormányzat jegyzőjét, hogy a költségvetési beszámoló elfogadásáról a költségvetési maradvány jóváhagyott összegéről, elvonásáról a költségvetési szervek vezetőit a rendelet kihirdetését követő 15 napon belül írásban értesítse.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center"/>
        <w:textAlignment w:val="baseline"/>
        <w:rPr>
          <w:rFonts w:eastAsia="Times New Roman"/>
          <w:b/>
          <w:lang w:eastAsia="ar-SA"/>
        </w:rPr>
      </w:pPr>
      <w:r w:rsidRPr="001F228A">
        <w:rPr>
          <w:rFonts w:eastAsia="Times New Roman"/>
          <w:b/>
          <w:lang w:eastAsia="ar-SA"/>
        </w:rPr>
        <w:t>5. §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jc w:val="center"/>
        <w:textAlignment w:val="baseline"/>
        <w:rPr>
          <w:rFonts w:eastAsia="Times New Roman"/>
          <w:b/>
          <w:lang w:eastAsia="ar-SA"/>
        </w:rPr>
      </w:pPr>
    </w:p>
    <w:p w:rsidR="001F228A" w:rsidRPr="001F228A" w:rsidRDefault="001F228A" w:rsidP="001F228A">
      <w:pPr>
        <w:numPr>
          <w:ilvl w:val="0"/>
          <w:numId w:val="2"/>
        </w:numPr>
        <w:suppressAutoHyphens/>
        <w:overflowPunct w:val="0"/>
        <w:autoSpaceDE w:val="0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Ez a rendelet 2019. április 30.-án kihirdetésre kerül.</w:t>
      </w:r>
    </w:p>
    <w:p w:rsidR="001F228A" w:rsidRPr="001F228A" w:rsidRDefault="001F228A" w:rsidP="001F228A">
      <w:pPr>
        <w:suppressAutoHyphens/>
        <w:overflowPunct w:val="0"/>
        <w:autoSpaceDE w:val="0"/>
        <w:ind w:left="360"/>
        <w:textAlignment w:val="baseline"/>
        <w:rPr>
          <w:rFonts w:eastAsia="Times New Roman"/>
          <w:lang w:eastAsia="ar-SA"/>
        </w:rPr>
      </w:pPr>
    </w:p>
    <w:p w:rsidR="001F228A" w:rsidRPr="001F228A" w:rsidRDefault="001F228A" w:rsidP="001F228A">
      <w:pPr>
        <w:numPr>
          <w:ilvl w:val="0"/>
          <w:numId w:val="2"/>
        </w:numPr>
        <w:suppressAutoHyphens/>
        <w:overflowPunct w:val="0"/>
        <w:autoSpaceDE w:val="0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>Ez a rendelet 2019. május 01-én lép hatályba.</w:t>
      </w:r>
    </w:p>
    <w:p w:rsidR="001F228A" w:rsidRPr="001F228A" w:rsidRDefault="001F228A" w:rsidP="001F228A">
      <w:pPr>
        <w:suppressAutoHyphens/>
        <w:overflowPunct w:val="0"/>
        <w:autoSpaceDE w:val="0"/>
        <w:ind w:left="720"/>
        <w:textAlignment w:val="baseline"/>
        <w:rPr>
          <w:rFonts w:eastAsia="Times New Roman"/>
          <w:lang w:eastAsia="ar-SA"/>
        </w:rPr>
      </w:pPr>
    </w:p>
    <w:p w:rsidR="001F228A" w:rsidRPr="001F228A" w:rsidRDefault="001F228A" w:rsidP="001F228A">
      <w:pPr>
        <w:numPr>
          <w:ilvl w:val="0"/>
          <w:numId w:val="2"/>
        </w:numPr>
        <w:suppressAutoHyphens/>
        <w:overflowPunct w:val="0"/>
        <w:autoSpaceDE w:val="0"/>
        <w:textAlignment w:val="baseline"/>
        <w:rPr>
          <w:rFonts w:eastAsia="Times New Roman"/>
          <w:lang w:eastAsia="ar-SA"/>
        </w:rPr>
      </w:pPr>
      <w:r>
        <w:rPr>
          <w:rFonts w:eastAsia="Times New Roman"/>
          <w:noProof/>
        </w:rPr>
        <w:drawing>
          <wp:anchor distT="0" distB="2032" distL="114300" distR="115189" simplePos="0" relativeHeight="251659264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234315</wp:posOffset>
            </wp:positionV>
            <wp:extent cx="2400681" cy="802513"/>
            <wp:effectExtent l="0" t="0" r="0" b="0"/>
            <wp:wrapNone/>
            <wp:docPr id="3" name="Kép 3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28A">
        <w:rPr>
          <w:rFonts w:eastAsia="Times New Roman"/>
          <w:lang w:eastAsia="ar-SA"/>
        </w:rPr>
        <w:t>A rendelet hatályba lépésével egyidejűleg hatályát veszíti az önkormányzat 2018. évi költségvetéséről szóló 5/2017.(III. 01.) ÖR. számú rendelete.</w:t>
      </w:r>
    </w:p>
    <w:p w:rsidR="001F228A" w:rsidRPr="001F228A" w:rsidRDefault="001F228A" w:rsidP="001F228A">
      <w:pPr>
        <w:suppressAutoHyphens/>
        <w:overflowPunct w:val="0"/>
        <w:autoSpaceDE w:val="0"/>
        <w:spacing w:before="120"/>
        <w:textAlignment w:val="baseline"/>
        <w:rPr>
          <w:rFonts w:eastAsia="Times New Roman"/>
          <w:b/>
          <w:lang w:eastAsia="ar-SA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2353945</wp:posOffset>
            </wp:positionH>
            <wp:positionV relativeFrom="paragraph">
              <wp:posOffset>38735</wp:posOffset>
            </wp:positionV>
            <wp:extent cx="1133475" cy="1094105"/>
            <wp:effectExtent l="0" t="0" r="952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3745865</wp:posOffset>
            </wp:positionH>
            <wp:positionV relativeFrom="paragraph">
              <wp:posOffset>147955</wp:posOffset>
            </wp:positionV>
            <wp:extent cx="1779905" cy="7315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28A" w:rsidRPr="001F228A" w:rsidRDefault="001F228A" w:rsidP="001F228A">
      <w:pPr>
        <w:suppressAutoHyphens/>
        <w:overflowPunct w:val="0"/>
        <w:autoSpaceDE w:val="0"/>
        <w:ind w:left="5664" w:firstLine="708"/>
        <w:jc w:val="center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    </w:t>
      </w:r>
    </w:p>
    <w:p w:rsidR="001F228A" w:rsidRPr="001F228A" w:rsidRDefault="001F228A" w:rsidP="001F228A">
      <w:pPr>
        <w:keepNext/>
        <w:keepLines/>
        <w:suppressAutoHyphens/>
        <w:overflowPunct w:val="0"/>
        <w:autoSpaceDE w:val="0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Farkas István </w:t>
      </w:r>
      <w:proofErr w:type="gramStart"/>
      <w:r w:rsidRPr="001F228A">
        <w:rPr>
          <w:rFonts w:eastAsia="Times New Roman"/>
          <w:lang w:eastAsia="ar-SA"/>
        </w:rPr>
        <w:t xml:space="preserve">Attila                                     </w:t>
      </w:r>
      <w:r w:rsidRPr="001F228A">
        <w:rPr>
          <w:rFonts w:eastAsia="Times New Roman"/>
          <w:lang w:eastAsia="ar-SA"/>
        </w:rPr>
        <w:tab/>
      </w:r>
      <w:r w:rsidRPr="001F228A">
        <w:rPr>
          <w:rFonts w:eastAsia="Times New Roman"/>
          <w:lang w:eastAsia="ar-SA"/>
        </w:rPr>
        <w:tab/>
      </w:r>
      <w:r w:rsidRPr="001F228A">
        <w:rPr>
          <w:rFonts w:eastAsia="Times New Roman"/>
          <w:lang w:eastAsia="ar-SA"/>
        </w:rPr>
        <w:tab/>
      </w:r>
      <w:r w:rsidRPr="001F228A">
        <w:rPr>
          <w:rFonts w:eastAsia="Times New Roman"/>
          <w:lang w:eastAsia="ar-SA"/>
        </w:rPr>
        <w:tab/>
      </w:r>
      <w:proofErr w:type="spellStart"/>
      <w:r w:rsidRPr="001F228A">
        <w:rPr>
          <w:rFonts w:eastAsia="Times New Roman"/>
          <w:lang w:eastAsia="ar-SA"/>
        </w:rPr>
        <w:t>Fekéné</w:t>
      </w:r>
      <w:proofErr w:type="spellEnd"/>
      <w:proofErr w:type="gramEnd"/>
      <w:r w:rsidRPr="001F228A">
        <w:rPr>
          <w:rFonts w:eastAsia="Times New Roman"/>
          <w:lang w:eastAsia="ar-SA"/>
        </w:rPr>
        <w:t xml:space="preserve"> </w:t>
      </w:r>
      <w:proofErr w:type="spellStart"/>
      <w:r w:rsidRPr="001F228A">
        <w:rPr>
          <w:rFonts w:eastAsia="Times New Roman"/>
          <w:lang w:eastAsia="ar-SA"/>
        </w:rPr>
        <w:t>Tarcsi</w:t>
      </w:r>
      <w:proofErr w:type="spellEnd"/>
      <w:r w:rsidRPr="001F228A">
        <w:rPr>
          <w:rFonts w:eastAsia="Times New Roman"/>
          <w:lang w:eastAsia="ar-SA"/>
        </w:rPr>
        <w:t xml:space="preserve"> Csilla </w:t>
      </w:r>
    </w:p>
    <w:p w:rsidR="001F228A" w:rsidRPr="001F228A" w:rsidRDefault="001F228A" w:rsidP="001F228A">
      <w:pPr>
        <w:keepNext/>
        <w:keepLines/>
        <w:suppressAutoHyphens/>
        <w:overflowPunct w:val="0"/>
        <w:autoSpaceDE w:val="0"/>
        <w:textAlignment w:val="baseline"/>
        <w:rPr>
          <w:rFonts w:eastAsia="Times New Roman"/>
          <w:lang w:eastAsia="ar-SA"/>
        </w:rPr>
      </w:pPr>
      <w:r w:rsidRPr="001F228A">
        <w:rPr>
          <w:rFonts w:eastAsia="Times New Roman"/>
          <w:lang w:eastAsia="ar-SA"/>
        </w:rPr>
        <w:t xml:space="preserve">    </w:t>
      </w:r>
      <w:proofErr w:type="gramStart"/>
      <w:r w:rsidRPr="001F228A">
        <w:rPr>
          <w:rFonts w:eastAsia="Times New Roman"/>
          <w:lang w:eastAsia="ar-SA"/>
        </w:rPr>
        <w:t>polgármester</w:t>
      </w:r>
      <w:proofErr w:type="gramEnd"/>
      <w:r w:rsidRPr="001F228A">
        <w:rPr>
          <w:rFonts w:eastAsia="Times New Roman"/>
          <w:lang w:eastAsia="ar-SA"/>
        </w:rPr>
        <w:t xml:space="preserve">                                              </w:t>
      </w:r>
      <w:r w:rsidRPr="001F228A">
        <w:rPr>
          <w:rFonts w:eastAsia="Times New Roman"/>
          <w:lang w:eastAsia="ar-SA"/>
        </w:rPr>
        <w:tab/>
      </w:r>
      <w:r w:rsidRPr="001F228A">
        <w:rPr>
          <w:rFonts w:eastAsia="Times New Roman"/>
          <w:lang w:eastAsia="ar-SA"/>
        </w:rPr>
        <w:tab/>
      </w:r>
      <w:r w:rsidRPr="001F228A">
        <w:rPr>
          <w:rFonts w:eastAsia="Times New Roman"/>
          <w:lang w:eastAsia="ar-SA"/>
        </w:rPr>
        <w:tab/>
        <w:t xml:space="preserve">       jegyző h.</w:t>
      </w:r>
    </w:p>
    <w:p w:rsidR="00852B22" w:rsidRDefault="00852B22">
      <w:bookmarkStart w:id="0" w:name="_GoBack"/>
      <w:bookmarkEnd w:id="0"/>
    </w:p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121A140F"/>
    <w:multiLevelType w:val="hybridMultilevel"/>
    <w:tmpl w:val="D8BC5018"/>
    <w:lvl w:ilvl="0" w:tplc="B928D5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F9"/>
    <w:rsid w:val="00030842"/>
    <w:rsid w:val="001F228A"/>
    <w:rsid w:val="007E42F9"/>
    <w:rsid w:val="00852B22"/>
    <w:rsid w:val="0094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65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65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4165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94165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941652"/>
    <w:rPr>
      <w:b/>
      <w:bCs/>
    </w:rPr>
  </w:style>
  <w:style w:type="paragraph" w:styleId="Listaszerbekezds">
    <w:name w:val="List Paragraph"/>
    <w:basedOn w:val="Norml"/>
    <w:uiPriority w:val="34"/>
    <w:qFormat/>
    <w:rsid w:val="0094165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2609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2</cp:revision>
  <dcterms:created xsi:type="dcterms:W3CDTF">2019-07-22T13:04:00Z</dcterms:created>
  <dcterms:modified xsi:type="dcterms:W3CDTF">2019-07-22T13:04:00Z</dcterms:modified>
</cp:coreProperties>
</file>