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FA" w:rsidRPr="00AD4FFA" w:rsidRDefault="00AD4FFA" w:rsidP="00AD4FFA">
      <w:pPr>
        <w:jc w:val="center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1. melléklet</w:t>
      </w:r>
    </w:p>
    <w:p w:rsidR="00AD4FFA" w:rsidRPr="00AD4FFA" w:rsidRDefault="00AD4FFA" w:rsidP="00AD4FFA">
      <w:pPr>
        <w:jc w:val="center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jc w:val="center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a 9/2016. (VI.29.) önkormányzati rendelethez</w:t>
      </w: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D4FFA">
        <w:rPr>
          <w:rFonts w:eastAsia="Times New Roman" w:cs="Times New Roman"/>
          <w:b/>
          <w:szCs w:val="24"/>
          <w:lang w:eastAsia="hu-HU"/>
        </w:rPr>
        <w:t>Közterület-bérleti díjak</w:t>
      </w: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1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 xml:space="preserve">Árusító és egyéb pavilon (fülke), elhelyezése a község területén: </w:t>
      </w:r>
      <w:r w:rsidRPr="00AD4FFA">
        <w:rPr>
          <w:rFonts w:eastAsia="Times New Roman" w:cs="Times New Roman"/>
          <w:szCs w:val="24"/>
          <w:lang w:eastAsia="hu-HU"/>
        </w:rPr>
        <w:tab/>
        <w:t>2.000 Ft/nap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1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Önálló hirdető és reklámberendezés, antenna, torony, zászló, ide értve a homlokzatból közterület fölé nyúló hirdető berendezéseket is (a terület alatt a hirdetmény felülete értendő):</w:t>
      </w:r>
    </w:p>
    <w:p w:rsidR="00AD4FFA" w:rsidRPr="00AD4FFA" w:rsidRDefault="00AD4FFA" w:rsidP="00AD4FFA">
      <w:pPr>
        <w:jc w:val="both"/>
        <w:rPr>
          <w:rFonts w:eastAsia="Times New Roman" w:cs="Times New Roman"/>
          <w:sz w:val="12"/>
          <w:szCs w:val="12"/>
          <w:lang w:eastAsia="hu-HU"/>
        </w:rPr>
      </w:pPr>
    </w:p>
    <w:p w:rsidR="00AD4FFA" w:rsidRPr="00AD4FFA" w:rsidRDefault="00AD4FFA" w:rsidP="00AD4FFA">
      <w:pPr>
        <w:ind w:firstLine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Minden megkezdett 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-re:               6.000 Ft/db/év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 xml:space="preserve">Tüzelő, törmelék és egyéb ömlesztett anyag tárolására benyújtott kérelemben a közterület-bérleti díj mértéke: 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100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/hó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Idény jellegű, alkalmi árusítás, kiállítás, vásár: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300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Vendéglátóipari előkert, terasz: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400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/hó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Mutatványos tevékenység: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400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Cirkusz felállítása: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30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Filmforgatás célú közterület-használat esetében:</w:t>
      </w:r>
    </w:p>
    <w:p w:rsidR="00AD4FFA" w:rsidRPr="00AD4FFA" w:rsidRDefault="00AD4FFA" w:rsidP="00AD4FFA">
      <w:pPr>
        <w:ind w:left="708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 xml:space="preserve">- filmforgatás helyszínén: 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200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ind w:left="708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- technikai kiszolgálás: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150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ind w:left="708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 xml:space="preserve">- stáb parkolás: 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100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numPr>
          <w:ilvl w:val="0"/>
          <w:numId w:val="2"/>
        </w:numPr>
        <w:ind w:left="360"/>
        <w:jc w:val="both"/>
        <w:rPr>
          <w:rFonts w:eastAsia="Times New Roman" w:cs="Times New Roman"/>
          <w:szCs w:val="24"/>
          <w:lang w:eastAsia="hu-HU"/>
        </w:rPr>
      </w:pPr>
      <w:r w:rsidRPr="00AD4FFA">
        <w:rPr>
          <w:rFonts w:eastAsia="Times New Roman" w:cs="Times New Roman"/>
          <w:szCs w:val="24"/>
          <w:lang w:eastAsia="hu-HU"/>
        </w:rPr>
        <w:t>Egyéb célra:</w:t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</w:r>
      <w:r w:rsidRPr="00AD4FFA">
        <w:rPr>
          <w:rFonts w:eastAsia="Times New Roman" w:cs="Times New Roman"/>
          <w:szCs w:val="24"/>
          <w:lang w:eastAsia="hu-HU"/>
        </w:rPr>
        <w:tab/>
        <w:t>400 Ft/m</w:t>
      </w:r>
      <w:r w:rsidRPr="00AD4FFA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AD4FFA">
        <w:rPr>
          <w:rFonts w:eastAsia="Times New Roman" w:cs="Times New Roman"/>
          <w:szCs w:val="24"/>
          <w:lang w:eastAsia="hu-HU"/>
        </w:rPr>
        <w:t>/nap</w:t>
      </w: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jc w:val="both"/>
        <w:rPr>
          <w:rFonts w:eastAsia="Times New Roman" w:cs="Times New Roman"/>
          <w:szCs w:val="24"/>
          <w:lang w:eastAsia="hu-HU"/>
        </w:rPr>
      </w:pPr>
    </w:p>
    <w:p w:rsidR="00AD4FFA" w:rsidRPr="00AD4FFA" w:rsidRDefault="00AD4FFA" w:rsidP="00AD4FFA">
      <w:pPr>
        <w:rPr>
          <w:rFonts w:eastAsia="Times New Roman" w:cs="Times New Roman"/>
          <w:szCs w:val="24"/>
          <w:lang w:eastAsia="hu-HU"/>
        </w:rPr>
      </w:pPr>
    </w:p>
    <w:p w:rsidR="00224A2E" w:rsidRDefault="00224A2E">
      <w:bookmarkStart w:id="0" w:name="_GoBack"/>
      <w:bookmarkEnd w:id="0"/>
    </w:p>
    <w:sectPr w:rsidR="00224A2E" w:rsidSect="003F039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E2" w:rsidRDefault="00AD4FFA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F46E2" w:rsidRDefault="00AD4FFA" w:rsidP="003F039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E2" w:rsidRDefault="00AD4FFA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CF46E2" w:rsidRDefault="00AD4FFA" w:rsidP="003F039D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F097A"/>
    <w:multiLevelType w:val="hybridMultilevel"/>
    <w:tmpl w:val="0C5A4C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F671C"/>
    <w:multiLevelType w:val="hybridMultilevel"/>
    <w:tmpl w:val="F6B890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A"/>
    <w:rsid w:val="00224A2E"/>
    <w:rsid w:val="00283063"/>
    <w:rsid w:val="00347A9D"/>
    <w:rsid w:val="005C5533"/>
    <w:rsid w:val="0062680D"/>
    <w:rsid w:val="00741942"/>
    <w:rsid w:val="00850914"/>
    <w:rsid w:val="00A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430B-D743-4D36-BDA4-06F2C16C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D4FFA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AD4FFA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AD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2016-07-03T22:37:00Z</dcterms:created>
  <dcterms:modified xsi:type="dcterms:W3CDTF">2016-07-03T22:37:00Z</dcterms:modified>
</cp:coreProperties>
</file>