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276" w:rsidRPr="00693346" w:rsidRDefault="00F05276" w:rsidP="00F05276">
      <w:pPr>
        <w:pStyle w:val="Cmsor1"/>
        <w:jc w:val="right"/>
        <w:rPr>
          <w:rFonts w:ascii="Times New Roman" w:hAnsi="Times New Roman" w:cs="Times New Roman"/>
          <w:b w:val="0"/>
          <w:i/>
        </w:rPr>
      </w:pPr>
      <w:bookmarkStart w:id="0" w:name="_Toc513550695"/>
      <w:bookmarkStart w:id="1" w:name="_Toc513550340"/>
      <w:r w:rsidRPr="00693346">
        <w:rPr>
          <w:rFonts w:ascii="Times New Roman" w:hAnsi="Times New Roman" w:cs="Times New Roman"/>
          <w:b w:val="0"/>
          <w:i/>
        </w:rPr>
        <w:t xml:space="preserve">1. függelék a </w:t>
      </w:r>
      <w:r>
        <w:rPr>
          <w:rFonts w:ascii="Times New Roman" w:hAnsi="Times New Roman" w:cs="Times New Roman"/>
          <w:b w:val="0"/>
          <w:i/>
        </w:rPr>
        <w:t>24</w:t>
      </w:r>
      <w:r w:rsidRPr="00693346">
        <w:rPr>
          <w:rFonts w:ascii="Times New Roman" w:hAnsi="Times New Roman" w:cs="Times New Roman"/>
          <w:b w:val="0"/>
          <w:i/>
        </w:rPr>
        <w:t>/2018.(</w:t>
      </w:r>
      <w:r>
        <w:rPr>
          <w:rFonts w:ascii="Times New Roman" w:hAnsi="Times New Roman" w:cs="Times New Roman"/>
          <w:b w:val="0"/>
          <w:i/>
        </w:rPr>
        <w:t>X.26.</w:t>
      </w:r>
      <w:r w:rsidRPr="00693346">
        <w:rPr>
          <w:rFonts w:ascii="Times New Roman" w:hAnsi="Times New Roman" w:cs="Times New Roman"/>
          <w:b w:val="0"/>
          <w:i/>
        </w:rPr>
        <w:t>) rendelethez</w:t>
      </w:r>
      <w:bookmarkEnd w:id="0"/>
      <w:bookmarkEnd w:id="1"/>
    </w:p>
    <w:p w:rsidR="00F05276" w:rsidRPr="00693346" w:rsidRDefault="00F05276" w:rsidP="00F05276">
      <w:pPr>
        <w:autoSpaceDE w:val="0"/>
        <w:autoSpaceDN w:val="0"/>
        <w:adjustRightInd w:val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276" w:rsidRPr="00693346" w:rsidRDefault="00F05276" w:rsidP="00F05276">
      <w:pPr>
        <w:pStyle w:val="Cmsor2"/>
        <w:rPr>
          <w:rFonts w:ascii="Times New Roman" w:hAnsi="Times New Roman" w:cs="Times New Roman"/>
          <w:b/>
          <w:sz w:val="28"/>
          <w:szCs w:val="28"/>
        </w:rPr>
      </w:pPr>
      <w:bookmarkStart w:id="2" w:name="_Toc513550696"/>
      <w:bookmarkStart w:id="3" w:name="_Toc513550341"/>
      <w:r w:rsidRPr="00693346">
        <w:rPr>
          <w:rFonts w:ascii="Times New Roman" w:hAnsi="Times New Roman" w:cs="Times New Roman"/>
          <w:sz w:val="28"/>
          <w:szCs w:val="28"/>
        </w:rPr>
        <w:t>Védett és védelemre érdemes természeti értékek jegyzéke</w:t>
      </w:r>
      <w:bookmarkEnd w:id="2"/>
      <w:bookmarkEnd w:id="3"/>
    </w:p>
    <w:p w:rsidR="00F05276" w:rsidRDefault="00F05276" w:rsidP="00F05276">
      <w:pPr>
        <w:spacing w:before="120"/>
        <w:ind w:left="360" w:hanging="502"/>
        <w:rPr>
          <w:rFonts w:ascii="Times New Roman" w:hAnsi="Times New Roman"/>
          <w:i/>
          <w:szCs w:val="24"/>
        </w:rPr>
      </w:pPr>
    </w:p>
    <w:p w:rsidR="00F05276" w:rsidRDefault="00F05276" w:rsidP="00F05276">
      <w:pPr>
        <w:pStyle w:val="Listaszerbekezds"/>
        <w:numPr>
          <w:ilvl w:val="0"/>
          <w:numId w:val="1"/>
        </w:numPr>
        <w:spacing w:after="160" w:line="276" w:lineRule="auto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VÉDELEM ALATT ÁLLÓ TERMÉSZETIÉRTÉKEK</w:t>
      </w:r>
    </w:p>
    <w:p w:rsidR="00F05276" w:rsidRDefault="00F05276" w:rsidP="00F05276">
      <w:pPr>
        <w:numPr>
          <w:ilvl w:val="0"/>
          <w:numId w:val="2"/>
        </w:numPr>
        <w:spacing w:after="100" w:line="276" w:lineRule="auto"/>
        <w:ind w:left="284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Nemzetközi védettség alatt álló területek: </w:t>
      </w:r>
    </w:p>
    <w:p w:rsidR="00F05276" w:rsidRDefault="00F05276" w:rsidP="00F05276">
      <w:pPr>
        <w:spacing w:line="276" w:lineRule="auto"/>
        <w:ind w:left="284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Európai közösségi jelentőségű természetvédelmi rendeltetésű (Natura2000) területek az európai közösségi jelentőségű természetvédelmi rendeltetésű területekről szóló 275/2004. (X. 8.) Korm. rendelet alapján: 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Duna és ártere HUDI20034 kiemelt jelentőségű természetmegőrzési terület – érintett földterületek: 200087, 209998, 210034/1, 210145, 210670 hrsz. (a 14/2010. (V. 11.) </w:t>
      </w:r>
      <w:proofErr w:type="spellStart"/>
      <w:r>
        <w:rPr>
          <w:rFonts w:ascii="Times New Roman" w:hAnsi="Times New Roman"/>
          <w:sz w:val="24"/>
          <w:szCs w:val="24"/>
        </w:rPr>
        <w:t>KvVM</w:t>
      </w:r>
      <w:proofErr w:type="spellEnd"/>
      <w:r>
        <w:rPr>
          <w:rFonts w:ascii="Times New Roman" w:hAnsi="Times New Roman"/>
          <w:sz w:val="24"/>
          <w:szCs w:val="24"/>
        </w:rPr>
        <w:t xml:space="preserve"> rendelet 1. melléklete alapján)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Ráckevei Duna-ág kiemelt jelentőségű természetmegőrzési terület – érintett földrészletek: 205197, 205198, 205801, 205802, 206123, 206884, 209262, 209463, 209958, 209995, 209999/1, 209999/2, 209999/3 hrsz.</w:t>
      </w:r>
    </w:p>
    <w:p w:rsidR="00F05276" w:rsidRDefault="00F05276" w:rsidP="00F05276">
      <w:pPr>
        <w:numPr>
          <w:ilvl w:val="0"/>
          <w:numId w:val="2"/>
        </w:numPr>
        <w:spacing w:after="100" w:line="276" w:lineRule="auto"/>
        <w:ind w:left="284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Országos jelentőségű védett természeti terület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Tamariska-domb - 206759/5 hrsz. - </w:t>
      </w:r>
      <w:r>
        <w:rPr>
          <w:rFonts w:ascii="Times New Roman" w:hAnsi="Times New Roman"/>
          <w:i/>
          <w:sz w:val="24"/>
          <w:szCs w:val="24"/>
        </w:rPr>
        <w:t>Tamariska-domb természetvédelmi terület létesítéséről szóló 89/2012. (VIII. 28.) VM rendelet alapján</w:t>
      </w:r>
    </w:p>
    <w:p w:rsidR="00F05276" w:rsidRDefault="00F05276" w:rsidP="00F05276">
      <w:pPr>
        <w:numPr>
          <w:ilvl w:val="0"/>
          <w:numId w:val="2"/>
        </w:numPr>
        <w:spacing w:after="100" w:line="276" w:lineRule="auto"/>
        <w:ind w:left="284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Tájképvédelmi szempontból kiemelten kezelendő területek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Ráckevei-Duna-ág folyómedrei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ökológiai hálózat részét képező, beépítetlen partszakaszok</w:t>
      </w:r>
    </w:p>
    <w:p w:rsidR="00F05276" w:rsidRDefault="00F05276" w:rsidP="00F05276">
      <w:pPr>
        <w:pStyle w:val="Listaszerbekezds"/>
        <w:numPr>
          <w:ilvl w:val="0"/>
          <w:numId w:val="1"/>
        </w:numPr>
        <w:spacing w:before="240" w:after="160" w:line="276" w:lineRule="auto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EGYÉB ÉRTÉKEK</w:t>
      </w:r>
    </w:p>
    <w:p w:rsidR="00F05276" w:rsidRDefault="00F05276" w:rsidP="00F05276">
      <w:pPr>
        <w:numPr>
          <w:ilvl w:val="0"/>
          <w:numId w:val="4"/>
        </w:numPr>
        <w:spacing w:after="100" w:line="276" w:lineRule="auto"/>
        <w:ind w:left="142" w:hanging="284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Védelemre érdemes természeti területek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Kis-Duna öböl - érintett földrészletek: 206883/1 hrsz. (részben), 206884 hrsz. (részben)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Kis-Duna liget – érintett földrészletek: 205196/1, 205196/2, 205199 hrsz.</w:t>
      </w:r>
    </w:p>
    <w:p w:rsidR="00F05276" w:rsidRDefault="00F05276" w:rsidP="00F05276">
      <w:pPr>
        <w:pStyle w:val="Listaszerbekezds2"/>
        <w:spacing w:after="0" w:line="276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TSZT-n nem jelölt védelemre érdemes természeti területek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Csalitos u-Gyömbér u-Páfrányos u-Kórus u-Páfrányos u- Berek u által határolt terület egy része - érintett földrészlet: 206366/3 hrsz. (részben)</w:t>
      </w:r>
    </w:p>
    <w:p w:rsidR="00F05276" w:rsidRDefault="00F05276" w:rsidP="00F05276">
      <w:pPr>
        <w:pStyle w:val="Listaszerbekezds3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Repkény u.-Tulipán u.-Bokros u.-Fagyöngy u. által határolt terület</w:t>
      </w:r>
    </w:p>
    <w:p w:rsidR="00F05276" w:rsidRDefault="00F05276" w:rsidP="00F05276">
      <w:pPr>
        <w:pStyle w:val="Listaszerbekezds2"/>
        <w:numPr>
          <w:ilvl w:val="0"/>
          <w:numId w:val="4"/>
        </w:numPr>
        <w:spacing w:after="100" w:line="276" w:lineRule="auto"/>
        <w:ind w:left="142" w:hanging="29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Karakterében megőrzendő temető és jelentős zöldfelületű intézményterület</w:t>
      </w:r>
    </w:p>
    <w:p w:rsidR="00F05276" w:rsidRDefault="00F05276" w:rsidP="00F05276">
      <w:pPr>
        <w:pStyle w:val="Listaszerbekezds2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Csepeli Temető </w:t>
      </w:r>
    </w:p>
    <w:p w:rsidR="00F05276" w:rsidRDefault="00F05276" w:rsidP="00F05276">
      <w:pPr>
        <w:pStyle w:val="Listaszerbekezds2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Rákóczi Kert</w:t>
      </w:r>
    </w:p>
    <w:p w:rsidR="00F05276" w:rsidRDefault="00F05276" w:rsidP="00F05276">
      <w:pPr>
        <w:pStyle w:val="Listaszerbekezds3"/>
        <w:spacing w:after="0" w:line="276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TSZT-n nem jelölt Karakterében megőrzendő temető és jelentős zöldfelületű intézményterület</w:t>
      </w:r>
    </w:p>
    <w:p w:rsidR="00F05276" w:rsidRDefault="00F05276" w:rsidP="00F05276">
      <w:pPr>
        <w:pStyle w:val="Listaszerbekezds2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volt Izraelita temető </w:t>
      </w:r>
    </w:p>
    <w:p w:rsidR="00F05276" w:rsidRDefault="00F05276" w:rsidP="00F05276">
      <w:pPr>
        <w:pStyle w:val="Listaszerbekezds2"/>
        <w:numPr>
          <w:ilvl w:val="0"/>
          <w:numId w:val="4"/>
        </w:numPr>
        <w:spacing w:after="100" w:line="276" w:lineRule="auto"/>
        <w:ind w:left="142" w:hanging="29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Településképi jelentőségű meglévő fasor (TSZT) 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Ady Endre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Csete Balázs utca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Erdősor u. 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Hollandi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II. Rákóczi Ferenc út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Késmárki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Kossuth Lajos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Plútó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Széchenyi István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Szent István út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Szentmiklósi u. 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Völgy u.</w:t>
      </w:r>
    </w:p>
    <w:p w:rsidR="00F05276" w:rsidRDefault="00F05276" w:rsidP="00F05276">
      <w:pPr>
        <w:pStyle w:val="Listaszerbekezds2"/>
        <w:spacing w:after="0" w:line="276" w:lineRule="auto"/>
        <w:ind w:hanging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Weiss Manfréd u. déli szakasza</w:t>
      </w:r>
    </w:p>
    <w:p w:rsidR="00F05276" w:rsidRDefault="00F05276" w:rsidP="00F05276">
      <w:pPr>
        <w:pStyle w:val="Listaszerbekezds3"/>
        <w:spacing w:after="0" w:line="276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TSZT-n nem jelölt településképi jelentőségű meglévő fasor</w:t>
      </w:r>
    </w:p>
    <w:p w:rsidR="00F05276" w:rsidRDefault="00F05276" w:rsidP="00F05276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Ady E. u. 1-7. ostorfák</w:t>
      </w:r>
    </w:p>
    <w:p w:rsidR="00F05276" w:rsidRDefault="00F05276" w:rsidP="00F05276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Értékes platánsor a strand területén</w:t>
      </w:r>
    </w:p>
    <w:p w:rsidR="00F05276" w:rsidRDefault="00F05276" w:rsidP="00F05276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 tér környéki platánfák (Kölcsey u-Kohász u-Akácfa u-Iskola tér-Vasöntő u-Kazánház u.-Nagykalapács u. területén található 391 db idős platán)</w:t>
      </w:r>
    </w:p>
    <w:p w:rsidR="00F05276" w:rsidRDefault="00F05276" w:rsidP="00F05276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Szabadság u. </w:t>
      </w:r>
    </w:p>
    <w:p w:rsidR="00F05276" w:rsidRDefault="00F05276" w:rsidP="00F05276">
      <w:pPr>
        <w:pStyle w:val="Listaszerbekezds3"/>
        <w:numPr>
          <w:ilvl w:val="0"/>
          <w:numId w:val="3"/>
        </w:numPr>
        <w:spacing w:after="0" w:line="276" w:lineRule="auto"/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Völgy u. platánsor Erdőalja u. és Festő u. közötti szakaszán</w:t>
      </w:r>
    </w:p>
    <w:p w:rsidR="00F05276" w:rsidRDefault="00F05276" w:rsidP="00F05276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 xml:space="preserve">Településképi jelentőségű tervezett fasor (TSZT) </w:t>
      </w:r>
    </w:p>
    <w:p w:rsidR="00F05276" w:rsidRDefault="00F05276" w:rsidP="00F05276">
      <w:pPr>
        <w:pStyle w:val="Listaszerbekezds2"/>
        <w:spacing w:after="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II. Rákóczi Ferenc u. </w:t>
      </w:r>
    </w:p>
    <w:p w:rsidR="00F05276" w:rsidRDefault="00F05276" w:rsidP="00F05276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5. Helyi jelentőségű gyógyforrások, kutak</w:t>
      </w:r>
    </w:p>
    <w:p w:rsidR="00F05276" w:rsidRDefault="00F05276" w:rsidP="00F05276">
      <w:pPr>
        <w:pStyle w:val="Listaszerbekezds2"/>
        <w:spacing w:after="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Csepeli strandfürdő </w:t>
      </w:r>
      <w:proofErr w:type="spellStart"/>
      <w:r>
        <w:rPr>
          <w:rFonts w:ascii="Times New Roman" w:hAnsi="Times New Roman"/>
          <w:sz w:val="24"/>
          <w:szCs w:val="24"/>
        </w:rPr>
        <w:t>kútjai</w:t>
      </w:r>
      <w:proofErr w:type="spellEnd"/>
      <w:r>
        <w:rPr>
          <w:rFonts w:ascii="Times New Roman" w:hAnsi="Times New Roman"/>
          <w:sz w:val="24"/>
          <w:szCs w:val="24"/>
        </w:rPr>
        <w:t xml:space="preserve"> (Hollandi u. 14)</w:t>
      </w:r>
    </w:p>
    <w:p w:rsidR="00F05276" w:rsidRDefault="00F05276" w:rsidP="00F05276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6. Karakterében megőrzendő közpark, köztér: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 Bolivár Park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 Imre tér</w:t>
      </w:r>
    </w:p>
    <w:p w:rsidR="00F05276" w:rsidRDefault="00F05276" w:rsidP="00F05276">
      <w:pPr>
        <w:pStyle w:val="Listaszerbekezds2"/>
        <w:numPr>
          <w:ilvl w:val="0"/>
          <w:numId w:val="3"/>
        </w:numPr>
        <w:spacing w:after="0" w:line="276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Görgey Artút tér</w:t>
      </w:r>
    </w:p>
    <w:p w:rsidR="00F05276" w:rsidRDefault="00F05276" w:rsidP="00F05276">
      <w:pPr>
        <w:pStyle w:val="Listaszerbekezds2"/>
        <w:spacing w:after="100" w:line="276" w:lineRule="auto"/>
        <w:ind w:hanging="86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7. Egyéb vízfelület:</w:t>
      </w:r>
    </w:p>
    <w:p w:rsidR="00F05276" w:rsidRDefault="00F05276" w:rsidP="00F05276">
      <w:pPr>
        <w:pStyle w:val="Listaszerbekezds2"/>
        <w:spacing w:after="0" w:line="276" w:lineRule="auto"/>
        <w:ind w:hanging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Katalin-tó – a szigetszentmiklósi Kavicsos tó csepeli területe</w:t>
      </w:r>
    </w:p>
    <w:p w:rsidR="00F05276" w:rsidRDefault="00F05276" w:rsidP="00F05276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05276" w:rsidRPr="00693346" w:rsidRDefault="00F05276" w:rsidP="00F05276">
      <w:pPr>
        <w:pStyle w:val="Cmsor1"/>
        <w:jc w:val="right"/>
        <w:rPr>
          <w:rFonts w:ascii="Times New Roman" w:eastAsiaTheme="minorHAnsi" w:hAnsi="Times New Roman" w:cs="Times New Roman"/>
          <w:b w:val="0"/>
          <w:i/>
        </w:rPr>
      </w:pPr>
      <w:bookmarkStart w:id="4" w:name="_Toc513550697"/>
      <w:bookmarkStart w:id="5" w:name="_Toc513550342"/>
      <w:r w:rsidRPr="00693346">
        <w:rPr>
          <w:rFonts w:ascii="Times New Roman" w:hAnsi="Times New Roman" w:cs="Times New Roman"/>
          <w:b w:val="0"/>
          <w:i/>
        </w:rPr>
        <w:lastRenderedPageBreak/>
        <w:t xml:space="preserve">2. függelék a </w:t>
      </w:r>
      <w:r>
        <w:rPr>
          <w:rFonts w:ascii="Times New Roman" w:hAnsi="Times New Roman" w:cs="Times New Roman"/>
          <w:b w:val="0"/>
          <w:i/>
        </w:rPr>
        <w:t>24</w:t>
      </w:r>
      <w:r w:rsidRPr="00693346">
        <w:rPr>
          <w:rFonts w:ascii="Times New Roman" w:hAnsi="Times New Roman" w:cs="Times New Roman"/>
          <w:b w:val="0"/>
          <w:i/>
        </w:rPr>
        <w:t>/2018.(</w:t>
      </w:r>
      <w:r>
        <w:rPr>
          <w:rFonts w:ascii="Times New Roman" w:hAnsi="Times New Roman" w:cs="Times New Roman"/>
          <w:b w:val="0"/>
          <w:i/>
        </w:rPr>
        <w:t>X.26.</w:t>
      </w:r>
      <w:r w:rsidRPr="00693346">
        <w:rPr>
          <w:rFonts w:ascii="Times New Roman" w:hAnsi="Times New Roman" w:cs="Times New Roman"/>
          <w:b w:val="0"/>
          <w:i/>
        </w:rPr>
        <w:t>) rendelethez</w:t>
      </w:r>
      <w:bookmarkEnd w:id="4"/>
      <w:bookmarkEnd w:id="5"/>
    </w:p>
    <w:p w:rsidR="00F05276" w:rsidRPr="00693346" w:rsidRDefault="00F05276" w:rsidP="00F05276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i/>
          <w:sz w:val="28"/>
          <w:szCs w:val="28"/>
        </w:rPr>
      </w:pPr>
    </w:p>
    <w:p w:rsidR="00F05276" w:rsidRPr="00693346" w:rsidRDefault="00F05276" w:rsidP="00F05276">
      <w:pPr>
        <w:pStyle w:val="Cmsor2"/>
        <w:rPr>
          <w:rFonts w:ascii="Times New Roman" w:hAnsi="Times New Roman" w:cs="Times New Roman"/>
          <w:b/>
          <w:sz w:val="28"/>
          <w:szCs w:val="28"/>
        </w:rPr>
      </w:pPr>
      <w:bookmarkStart w:id="6" w:name="_Toc513550698"/>
      <w:bookmarkStart w:id="7" w:name="_Toc513550343"/>
      <w:r w:rsidRPr="00693346">
        <w:rPr>
          <w:rFonts w:ascii="Times New Roman" w:hAnsi="Times New Roman" w:cs="Times New Roman"/>
          <w:sz w:val="28"/>
          <w:szCs w:val="28"/>
        </w:rPr>
        <w:t>Veszélyes anyagokkal foglalkozó üzemek és mély fekvésű területek jegyzéke</w:t>
      </w:r>
      <w:bookmarkEnd w:id="6"/>
      <w:bookmarkEnd w:id="7"/>
    </w:p>
    <w:p w:rsidR="00F05276" w:rsidRDefault="00F05276" w:rsidP="00F05276">
      <w:pPr>
        <w:ind w:left="284"/>
        <w:rPr>
          <w:b/>
          <w:bCs/>
          <w:u w:val="single"/>
        </w:rPr>
      </w:pPr>
    </w:p>
    <w:p w:rsidR="00F05276" w:rsidRDefault="00F05276" w:rsidP="00F05276">
      <w:pPr>
        <w:numPr>
          <w:ilvl w:val="0"/>
          <w:numId w:val="6"/>
        </w:numPr>
        <w:spacing w:after="160" w:line="276" w:lineRule="auto"/>
        <w:ind w:left="284" w:hanging="142"/>
        <w:jc w:val="left"/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VESZÉLYES ANYAGOKKAL FOGLALKOZÓ ÜZEMEK</w:t>
      </w:r>
    </w:p>
    <w:p w:rsidR="00F05276" w:rsidRDefault="00F05276" w:rsidP="00F05276">
      <w:pPr>
        <w:spacing w:after="100" w:line="276" w:lineRule="auto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>Felső küszöbérték veszélyes üzem:</w:t>
      </w:r>
    </w:p>
    <w:p w:rsidR="00F05276" w:rsidRDefault="00F05276" w:rsidP="00F05276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MOL logisztikai </w:t>
      </w:r>
      <w:proofErr w:type="spellStart"/>
      <w:r>
        <w:rPr>
          <w:rFonts w:ascii="Times New Roman" w:hAnsi="Times New Roman" w:cs="Times New Roman"/>
          <w:bCs/>
          <w:szCs w:val="24"/>
        </w:rPr>
        <w:t>bázistelepe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(Petróleum kikötő, </w:t>
      </w:r>
      <w:proofErr w:type="gramStart"/>
      <w:r>
        <w:rPr>
          <w:rFonts w:ascii="Times New Roman" w:hAnsi="Times New Roman" w:cs="Times New Roman"/>
          <w:bCs/>
          <w:szCs w:val="24"/>
        </w:rPr>
        <w:t>olajipar)-</w:t>
      </w:r>
      <w:proofErr w:type="gramEnd"/>
      <w:r>
        <w:rPr>
          <w:rFonts w:ascii="Times New Roman" w:hAnsi="Times New Roman" w:cs="Times New Roman"/>
          <w:bCs/>
          <w:szCs w:val="24"/>
        </w:rPr>
        <w:t>Petróleum u. 5-7.</w:t>
      </w:r>
    </w:p>
    <w:p w:rsidR="00F05276" w:rsidRDefault="00F05276" w:rsidP="00F05276">
      <w:pPr>
        <w:spacing w:after="100" w:line="276" w:lineRule="auto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>Alsó küszöbérték veszélyes üzem:</w:t>
      </w:r>
    </w:p>
    <w:p w:rsidR="00F05276" w:rsidRDefault="00F05276" w:rsidP="00F05276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Alpiq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Csepel II. Erőmű – Hőerőmű u. 3.</w:t>
      </w:r>
    </w:p>
    <w:p w:rsidR="00F05276" w:rsidRDefault="00F05276" w:rsidP="00F05276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DUNATÁR Kft. kőolajtározója (Petróleum kikötő) – Budafoki út 210035 hrsz.</w:t>
      </w:r>
    </w:p>
    <w:p w:rsidR="00F05276" w:rsidRDefault="00F05276" w:rsidP="00F05276">
      <w:pPr>
        <w:numPr>
          <w:ilvl w:val="0"/>
          <w:numId w:val="7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Oiltanking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Kft. kőolajtározója – Gáz u. 1.</w:t>
      </w:r>
    </w:p>
    <w:p w:rsidR="00F05276" w:rsidRDefault="00F05276" w:rsidP="00F05276">
      <w:pPr>
        <w:spacing w:after="100" w:line="276" w:lineRule="auto"/>
        <w:rPr>
          <w:rFonts w:ascii="Times New Roman" w:hAnsi="Times New Roman" w:cs="Times New Roman"/>
          <w:bCs/>
          <w:szCs w:val="24"/>
          <w:u w:val="single"/>
        </w:rPr>
      </w:pPr>
      <w:r>
        <w:rPr>
          <w:rFonts w:ascii="Times New Roman" w:hAnsi="Times New Roman" w:cs="Times New Roman"/>
          <w:bCs/>
          <w:szCs w:val="24"/>
          <w:u w:val="single"/>
        </w:rPr>
        <w:t>Küszöbérték alatti üzemek: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Budapest Központi Szennyvíztisztító Telep – Nagy Duna sor 2.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Dunai Kikötő Kft. (műtrágyák gyártása és tárolása) – Terelő u. 19 -21.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EURO-TANKHAJÓ Kft. szállítmányozási </w:t>
      </w:r>
      <w:proofErr w:type="spellStart"/>
      <w:r>
        <w:rPr>
          <w:rFonts w:ascii="Times New Roman" w:hAnsi="Times New Roman" w:cs="Times New Roman"/>
          <w:bCs/>
          <w:szCs w:val="24"/>
        </w:rPr>
        <w:t>telepe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(olajipar) – Szikratávíró út 210034-21003 hrsz.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Fővárosi Vízművek Zrt. telephelye – II. Rákóczi Ferenc út 345.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PYRO-BÁN Kft. (pirotechnika) – Öntöde u. – Dézsa u. sarok</w:t>
      </w:r>
    </w:p>
    <w:p w:rsidR="00F05276" w:rsidRDefault="00F05276" w:rsidP="00F05276">
      <w:pPr>
        <w:pStyle w:val="Listaszerbekezds3"/>
        <w:spacing w:before="120" w:after="0" w:line="276" w:lineRule="auto"/>
        <w:rPr>
          <w:rFonts w:ascii="Times New Roman" w:hAnsi="Times New Roman"/>
          <w:sz w:val="24"/>
          <w:szCs w:val="24"/>
        </w:rPr>
      </w:pPr>
    </w:p>
    <w:p w:rsidR="00F05276" w:rsidRDefault="00F05276" w:rsidP="00F05276">
      <w:pPr>
        <w:numPr>
          <w:ilvl w:val="0"/>
          <w:numId w:val="6"/>
        </w:numPr>
        <w:spacing w:after="160" w:line="276" w:lineRule="auto"/>
        <w:ind w:left="142" w:hanging="142"/>
        <w:jc w:val="left"/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MÉLY FEKVÉSŰ TERÜLETEK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Hollandi út menti terület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Szentmiklósi út térsége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Tölgyes utca-Juharos utca térsége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Erkély utca-Áfonyás utca környéke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Szent István utca-Orgonás utca-Damjanich utca térsége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Tigris utca környéke</w:t>
      </w:r>
    </w:p>
    <w:p w:rsidR="00F05276" w:rsidRDefault="00F05276" w:rsidP="00F05276">
      <w:pPr>
        <w:numPr>
          <w:ilvl w:val="0"/>
          <w:numId w:val="8"/>
        </w:numPr>
        <w:spacing w:line="276" w:lineRule="auto"/>
        <w:jc w:val="left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Ordas utca-Hollós utca környéke</w:t>
      </w:r>
    </w:p>
    <w:p w:rsidR="00F05276" w:rsidRDefault="00F05276" w:rsidP="00F05276">
      <w:pPr>
        <w:rPr>
          <w:rFonts w:ascii="Times New Roman" w:hAnsi="Times New Roman" w:cs="Times New Roman"/>
          <w:bCs/>
          <w:szCs w:val="24"/>
        </w:rPr>
      </w:pPr>
    </w:p>
    <w:p w:rsidR="00F05276" w:rsidRDefault="00F05276" w:rsidP="00F05276">
      <w:pPr>
        <w:ind w:firstLine="708"/>
      </w:pPr>
    </w:p>
    <w:p w:rsidR="00F05276" w:rsidRDefault="00F05276" w:rsidP="00F05276">
      <w:pPr>
        <w:jc w:val="left"/>
        <w:rPr>
          <w:rFonts w:cs="CenturyGothic"/>
          <w:b/>
          <w:sz w:val="20"/>
          <w:szCs w:val="20"/>
        </w:rPr>
      </w:pPr>
      <w:r>
        <w:rPr>
          <w:rFonts w:cs="CenturyGothic"/>
          <w:b/>
          <w:sz w:val="20"/>
          <w:szCs w:val="20"/>
        </w:rPr>
        <w:br w:type="page"/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lastRenderedPageBreak/>
        <w:t>Általános indokolás: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</w:p>
    <w:p w:rsidR="00F05276" w:rsidRPr="00693346" w:rsidRDefault="00F05276" w:rsidP="00F05276">
      <w:pPr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 xml:space="preserve">Az 1997. évi LXXVIII. törvény (továbbiakban: </w:t>
      </w:r>
      <w:proofErr w:type="spellStart"/>
      <w:r w:rsidRPr="00693346">
        <w:rPr>
          <w:rFonts w:ascii="Times New Roman" w:hAnsi="Times New Roman" w:cs="Times New Roman"/>
          <w:szCs w:val="24"/>
        </w:rPr>
        <w:t>Étv</w:t>
      </w:r>
      <w:proofErr w:type="spellEnd"/>
      <w:r w:rsidRPr="00693346">
        <w:rPr>
          <w:rFonts w:ascii="Times New Roman" w:hAnsi="Times New Roman" w:cs="Times New Roman"/>
          <w:szCs w:val="24"/>
        </w:rPr>
        <w:t xml:space="preserve">.) 13. (1) szerint a települési önkormányzatnak az országos szabályoknak megfelelően, illetve az azokban megengedett eltérésekkel a sajátságos helyi követelményeket helyi építési szabályzatban kell megállapítania. Jelen szabályzat a </w:t>
      </w:r>
      <w:r w:rsidRPr="00693346">
        <w:rPr>
          <w:rFonts w:ascii="Times New Roman" w:hAnsi="Times New Roman" w:cs="Times New Roman"/>
          <w:i/>
          <w:szCs w:val="24"/>
        </w:rPr>
        <w:t>településfejlesztési koncepcióról, az integrált településfejlesztési stratégiáról és a településrendezési eszközökről, valamint egyes településrendezési sajátos jogintézményekről</w:t>
      </w:r>
      <w:r w:rsidRPr="00693346">
        <w:rPr>
          <w:rFonts w:ascii="Times New Roman" w:hAnsi="Times New Roman" w:cs="Times New Roman"/>
          <w:szCs w:val="24"/>
        </w:rPr>
        <w:t xml:space="preserve"> szóló 314/2012. (XI. 8) Korm. rendelet (továbbiakban Kormányrendelet) szerint került megalkotásra.</w:t>
      </w:r>
    </w:p>
    <w:p w:rsidR="00F05276" w:rsidRPr="00693346" w:rsidRDefault="00F05276" w:rsidP="00F05276">
      <w:pPr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bookmarkStart w:id="8" w:name="_Hlk526328834"/>
      <w:r w:rsidRPr="00693346">
        <w:rPr>
          <w:rFonts w:ascii="Times New Roman" w:hAnsi="Times New Roman" w:cs="Times New Roman"/>
          <w:szCs w:val="24"/>
        </w:rPr>
        <w:t xml:space="preserve">Az </w:t>
      </w:r>
      <w:proofErr w:type="spellStart"/>
      <w:r w:rsidRPr="00693346">
        <w:rPr>
          <w:rFonts w:ascii="Times New Roman" w:hAnsi="Times New Roman" w:cs="Times New Roman"/>
          <w:szCs w:val="24"/>
        </w:rPr>
        <w:t>Étv</w:t>
      </w:r>
      <w:proofErr w:type="spellEnd"/>
      <w:r w:rsidRPr="00693346">
        <w:rPr>
          <w:rFonts w:ascii="Times New Roman" w:hAnsi="Times New Roman" w:cs="Times New Roman"/>
          <w:szCs w:val="24"/>
        </w:rPr>
        <w:t xml:space="preserve">. </w:t>
      </w:r>
      <w:bookmarkEnd w:id="8"/>
      <w:r w:rsidRPr="00693346">
        <w:rPr>
          <w:rFonts w:ascii="Times New Roman" w:hAnsi="Times New Roman" w:cs="Times New Roman"/>
          <w:szCs w:val="24"/>
        </w:rPr>
        <w:t xml:space="preserve">szerint a Duna főmedrével közvetlenül határos telkek építési rendjét a Főváros állapítja meg a Duna Építési Szabályzatban (DÉSZ). A Kormányrendelet szerint egy területre csak egy építési szabályzat állapítható meg, ezért a CSÉSZ területi hatálya nem terjed ki a DÉSZ területi hatálya alá tartozó területekre. </w:t>
      </w:r>
    </w:p>
    <w:p w:rsidR="00F05276" w:rsidRPr="00693346" w:rsidRDefault="00F05276" w:rsidP="00F05276">
      <w:pPr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>A rendelet elfogadásával az Önkormányzat eleget tesz a 2012-ben megkezdett, és azóta több lépésben változó jogszabályi környezet követelményeinek megfelelő jogalkotási kötelezettségnek.</w:t>
      </w:r>
    </w:p>
    <w:p w:rsidR="00F05276" w:rsidRPr="00693346" w:rsidRDefault="00F05276" w:rsidP="00F05276">
      <w:pPr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>A rendelet hatálybalépésével egyidejűleg a korábbi építési szabályzat, és abba épülő kerületi építési szabályzatok, valamint a Rákóczi téri Kerületi Építési Szabályzat hatályukat vesztik.</w:t>
      </w:r>
    </w:p>
    <w:p w:rsidR="00F05276" w:rsidRPr="00693346" w:rsidRDefault="00F05276" w:rsidP="00F05276">
      <w:pPr>
        <w:pStyle w:val="Bekezds"/>
      </w:pPr>
      <w:r w:rsidRPr="00693346">
        <w:t>A DÉSZ hatályba lépéséig, de legfeljebb a Kormányrendeletben megszabott határidőig az érintett területen Budapest XXI. kerület Csepel Önkormányzata Városrendezési és Építési Szabályzatáról szóló 6/2002.(III.26.) rendelete továbbra is hatályos.</w:t>
      </w:r>
    </w:p>
    <w:p w:rsidR="00F05276" w:rsidRPr="00693346" w:rsidRDefault="00F05276" w:rsidP="00F05276">
      <w:pPr>
        <w:rPr>
          <w:rFonts w:ascii="Times New Roman" w:hAnsi="Times New Roman" w:cs="Times New Roman"/>
          <w:szCs w:val="24"/>
        </w:rPr>
      </w:pPr>
    </w:p>
    <w:p w:rsidR="00F05276" w:rsidRPr="00693346" w:rsidRDefault="00F05276" w:rsidP="00F05276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Részletes indoklás: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szCs w:val="24"/>
        </w:rPr>
        <w:t xml:space="preserve">A Rendelet a Kormányrendelet szerinti </w:t>
      </w:r>
      <w:r w:rsidRPr="00693346">
        <w:rPr>
          <w:rFonts w:ascii="Times New Roman" w:hAnsi="Times New Roman" w:cs="Times New Roman"/>
          <w:b/>
          <w:szCs w:val="24"/>
        </w:rPr>
        <w:t>megalapozó és alátámasztó munkarészek alapján</w:t>
      </w:r>
      <w:r w:rsidRPr="00693346">
        <w:rPr>
          <w:rFonts w:ascii="Times New Roman" w:hAnsi="Times New Roman" w:cs="Times New Roman"/>
          <w:szCs w:val="24"/>
        </w:rPr>
        <w:t xml:space="preserve"> készült, melyek az Önkormányzat </w:t>
      </w:r>
      <w:proofErr w:type="spellStart"/>
      <w:r w:rsidRPr="00693346">
        <w:rPr>
          <w:rFonts w:ascii="Times New Roman" w:hAnsi="Times New Roman" w:cs="Times New Roman"/>
          <w:szCs w:val="24"/>
        </w:rPr>
        <w:t>főépítészi</w:t>
      </w:r>
      <w:proofErr w:type="spellEnd"/>
      <w:r w:rsidRPr="00693346">
        <w:rPr>
          <w:rFonts w:ascii="Times New Roman" w:hAnsi="Times New Roman" w:cs="Times New Roman"/>
          <w:szCs w:val="24"/>
        </w:rPr>
        <w:t xml:space="preserve"> irodáján megtekinthetők.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jc w:val="center"/>
        <w:rPr>
          <w:rFonts w:ascii="Times New Roman" w:hAnsi="Times New Roman" w:cs="Times New Roman"/>
          <w:b/>
          <w:szCs w:val="24"/>
        </w:rPr>
      </w:pP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1-2. §</w:t>
      </w:r>
      <w:r w:rsidRPr="00693346">
        <w:rPr>
          <w:rFonts w:ascii="Times New Roman" w:hAnsi="Times New Roman" w:cs="Times New Roman"/>
          <w:szCs w:val="24"/>
        </w:rPr>
        <w:t>: A rendelet területi hatályára és alkalmazása vonatkozó általános rendelkezések, a rendelet mellékleteinek és függelékeinek felsorolása, értelmező rendelkezések.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3. §</w:t>
      </w:r>
      <w:r w:rsidRPr="00693346">
        <w:rPr>
          <w:rFonts w:ascii="Times New Roman" w:hAnsi="Times New Roman" w:cs="Times New Roman"/>
          <w:szCs w:val="24"/>
        </w:rPr>
        <w:t>:</w:t>
      </w:r>
      <w:r w:rsidRPr="00693346">
        <w:rPr>
          <w:rFonts w:ascii="Times New Roman" w:hAnsi="Times New Roman" w:cs="Times New Roman"/>
          <w:b/>
          <w:szCs w:val="24"/>
        </w:rPr>
        <w:t xml:space="preserve"> </w:t>
      </w:r>
      <w:r w:rsidRPr="00693346">
        <w:rPr>
          <w:rFonts w:ascii="Times New Roman" w:hAnsi="Times New Roman" w:cs="Times New Roman"/>
          <w:szCs w:val="24"/>
        </w:rPr>
        <w:t>belterületbe vonással kapcsolatos rendelkezések.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4-5. §</w:t>
      </w:r>
      <w:r w:rsidRPr="00693346">
        <w:rPr>
          <w:rFonts w:ascii="Times New Roman" w:hAnsi="Times New Roman" w:cs="Times New Roman"/>
          <w:szCs w:val="24"/>
        </w:rPr>
        <w:t>: Közterületekre vonatkozó általános rendelkezések.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6-8. §</w:t>
      </w:r>
      <w:r w:rsidRPr="00693346">
        <w:rPr>
          <w:rFonts w:ascii="Times New Roman" w:hAnsi="Times New Roman" w:cs="Times New Roman"/>
          <w:szCs w:val="24"/>
        </w:rPr>
        <w:t>: A táj és természeti környezet, valamint a környezeti elemek védelmére vonatkozó előírások.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9-11. §</w:t>
      </w:r>
      <w:r w:rsidRPr="00693346">
        <w:rPr>
          <w:rFonts w:ascii="Times New Roman" w:hAnsi="Times New Roman" w:cs="Times New Roman"/>
          <w:szCs w:val="24"/>
        </w:rPr>
        <w:t>: Egyes sajátos jogintézményekkel kapcsolatos rendelkezések: telekalakítás, elővásárlási jog, közhasználatra átadott és átadható területek szabályai.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12-15. §:</w:t>
      </w:r>
      <w:r w:rsidRPr="00693346">
        <w:rPr>
          <w:rFonts w:ascii="Times New Roman" w:hAnsi="Times New Roman" w:cs="Times New Roman"/>
          <w:szCs w:val="24"/>
        </w:rPr>
        <w:t xml:space="preserve"> Közművekre vonatkozó rendelkezések.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16-23. §:</w:t>
      </w:r>
      <w:r w:rsidRPr="00693346">
        <w:rPr>
          <w:rFonts w:ascii="Times New Roman" w:hAnsi="Times New Roman" w:cs="Times New Roman"/>
          <w:szCs w:val="24"/>
        </w:rPr>
        <w:t xml:space="preserve"> A járművek tárolására és egyéb, közlekedésre vonatkozó rendelkezések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24-28. §</w:t>
      </w:r>
      <w:r w:rsidRPr="00693346">
        <w:rPr>
          <w:rFonts w:ascii="Times New Roman" w:hAnsi="Times New Roman" w:cs="Times New Roman"/>
          <w:szCs w:val="24"/>
        </w:rPr>
        <w:t>: Az építési övezetek beépítésének alapvető általános és beépítési módtól függő speciális szabályai.</w:t>
      </w:r>
    </w:p>
    <w:p w:rsidR="00F05276" w:rsidRPr="00693346" w:rsidRDefault="00F05276" w:rsidP="00F05276">
      <w:pPr>
        <w:pStyle w:val="Cmsor3"/>
        <w:jc w:val="both"/>
        <w:rPr>
          <w:rFonts w:ascii="Times New Roman" w:hAnsi="Times New Roman" w:cs="Times New Roman"/>
          <w:bCs/>
        </w:rPr>
      </w:pPr>
      <w:r w:rsidRPr="00693346">
        <w:rPr>
          <w:rFonts w:ascii="Times New Roman" w:hAnsi="Times New Roman" w:cs="Times New Roman"/>
        </w:rPr>
        <w:t xml:space="preserve"> </w:t>
      </w:r>
      <w:r w:rsidRPr="00693346">
        <w:rPr>
          <w:rFonts w:ascii="Times New Roman" w:hAnsi="Times New Roman" w:cs="Times New Roman"/>
          <w:b/>
        </w:rPr>
        <w:t>29. §</w:t>
      </w:r>
      <w:r w:rsidRPr="00693346">
        <w:rPr>
          <w:rFonts w:ascii="Times New Roman" w:hAnsi="Times New Roman" w:cs="Times New Roman"/>
        </w:rPr>
        <w:t xml:space="preserve">: Üzemanyagtöltő állomás, gépkocsi mosó és P+R parkoló </w:t>
      </w:r>
      <w:r w:rsidRPr="00693346">
        <w:rPr>
          <w:rFonts w:ascii="Times New Roman" w:hAnsi="Times New Roman" w:cs="Times New Roman"/>
          <w:bCs/>
        </w:rPr>
        <w:t>elhelyezésének általános szabályai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 xml:space="preserve">30-33. §: </w:t>
      </w:r>
      <w:r w:rsidRPr="00693346">
        <w:rPr>
          <w:rFonts w:ascii="Times New Roman" w:hAnsi="Times New Roman" w:cs="Times New Roman"/>
          <w:szCs w:val="24"/>
        </w:rPr>
        <w:t>Lakóépületek, lakás, melléképületek és melléképítmények, sajátos építményfajták, lakókocsi, üdülősátor, egyéb sátor és ponyvaszerkezetek elhelyezésére vonatkozó általános szabályok.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34-56. §:</w:t>
      </w:r>
      <w:r w:rsidRPr="00693346">
        <w:rPr>
          <w:rFonts w:ascii="Times New Roman" w:hAnsi="Times New Roman" w:cs="Times New Roman"/>
          <w:szCs w:val="24"/>
        </w:rPr>
        <w:t xml:space="preserve"> Beépítésre szánt területek részletes építési övezeti előírásai.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57-78. §:</w:t>
      </w:r>
      <w:r w:rsidRPr="00693346">
        <w:rPr>
          <w:rFonts w:ascii="Times New Roman" w:hAnsi="Times New Roman" w:cs="Times New Roman"/>
          <w:szCs w:val="24"/>
        </w:rPr>
        <w:t xml:space="preserve"> Beépítésre nem szánt területek részletes övezeti előírásai.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 xml:space="preserve">79-104. §: </w:t>
      </w:r>
      <w:r w:rsidRPr="00693346">
        <w:rPr>
          <w:rFonts w:ascii="Times New Roman" w:hAnsi="Times New Roman" w:cs="Times New Roman"/>
          <w:szCs w:val="24"/>
        </w:rPr>
        <w:t>Az egyes városrendezési körzetekre vonatkozó sajátos előírások.</w:t>
      </w:r>
    </w:p>
    <w:p w:rsidR="00F05276" w:rsidRPr="00693346" w:rsidRDefault="00F05276" w:rsidP="00F05276">
      <w:pPr>
        <w:autoSpaceDE w:val="0"/>
        <w:autoSpaceDN w:val="0"/>
        <w:adjustRightInd w:val="0"/>
        <w:ind w:right="70"/>
        <w:rPr>
          <w:rFonts w:ascii="Times New Roman" w:hAnsi="Times New Roman" w:cs="Times New Roman"/>
          <w:szCs w:val="24"/>
        </w:rPr>
      </w:pPr>
      <w:r w:rsidRPr="00693346">
        <w:rPr>
          <w:rFonts w:ascii="Times New Roman" w:hAnsi="Times New Roman" w:cs="Times New Roman"/>
          <w:b/>
          <w:szCs w:val="24"/>
        </w:rPr>
        <w:t>105-106.§</w:t>
      </w:r>
      <w:r w:rsidRPr="00693346">
        <w:rPr>
          <w:rFonts w:ascii="Times New Roman" w:hAnsi="Times New Roman" w:cs="Times New Roman"/>
          <w:szCs w:val="24"/>
        </w:rPr>
        <w:t>: Záró rendelkezések: hatályba léptető rendelkezések, hatályukat vesztő önkormányzati rendeletek.</w:t>
      </w:r>
    </w:p>
    <w:p w:rsidR="00F05276" w:rsidRPr="0058703A" w:rsidRDefault="00F05276" w:rsidP="00F05276">
      <w:pPr>
        <w:jc w:val="left"/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8703A">
        <w:rPr>
          <w:color w:val="FF0000"/>
          <w:sz w:val="20"/>
          <w:szCs w:val="20"/>
        </w:rPr>
        <w:t xml:space="preserve"> </w:t>
      </w:r>
    </w:p>
    <w:p w:rsidR="00DD0219" w:rsidRDefault="00DD0219">
      <w:bookmarkStart w:id="9" w:name="_GoBack"/>
      <w:bookmarkEnd w:id="9"/>
    </w:p>
    <w:sectPr w:rsidR="00DD0219" w:rsidSect="00342FE1"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CEF"/>
    <w:multiLevelType w:val="hybridMultilevel"/>
    <w:tmpl w:val="BDB44CE2"/>
    <w:lvl w:ilvl="0" w:tplc="AEAC9A74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1836"/>
    <w:multiLevelType w:val="hybridMultilevel"/>
    <w:tmpl w:val="8A6A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5E20"/>
    <w:multiLevelType w:val="hybridMultilevel"/>
    <w:tmpl w:val="8A6A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346F"/>
    <w:multiLevelType w:val="hybridMultilevel"/>
    <w:tmpl w:val="A09CECE2"/>
    <w:lvl w:ilvl="0" w:tplc="DCDEAD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31C11"/>
    <w:multiLevelType w:val="hybridMultilevel"/>
    <w:tmpl w:val="2EDC3866"/>
    <w:lvl w:ilvl="0" w:tplc="14DCA1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17D8F"/>
    <w:multiLevelType w:val="hybridMultilevel"/>
    <w:tmpl w:val="7BE20204"/>
    <w:lvl w:ilvl="0" w:tplc="24EE473E">
      <w:start w:val="1"/>
      <w:numFmt w:val="upperRoman"/>
      <w:lvlText w:val="%1."/>
      <w:lvlJc w:val="left"/>
      <w:pPr>
        <w:ind w:left="578" w:hanging="720"/>
      </w:pPr>
    </w:lvl>
    <w:lvl w:ilvl="1" w:tplc="040E0019">
      <w:start w:val="1"/>
      <w:numFmt w:val="lowerLetter"/>
      <w:lvlText w:val="%2."/>
      <w:lvlJc w:val="left"/>
      <w:pPr>
        <w:ind w:left="938" w:hanging="360"/>
      </w:pPr>
    </w:lvl>
    <w:lvl w:ilvl="2" w:tplc="040E001B">
      <w:start w:val="1"/>
      <w:numFmt w:val="lowerRoman"/>
      <w:lvlText w:val="%3."/>
      <w:lvlJc w:val="right"/>
      <w:pPr>
        <w:ind w:left="1658" w:hanging="180"/>
      </w:pPr>
    </w:lvl>
    <w:lvl w:ilvl="3" w:tplc="040E000F">
      <w:start w:val="1"/>
      <w:numFmt w:val="decimal"/>
      <w:lvlText w:val="%4."/>
      <w:lvlJc w:val="left"/>
      <w:pPr>
        <w:ind w:left="2378" w:hanging="360"/>
      </w:pPr>
    </w:lvl>
    <w:lvl w:ilvl="4" w:tplc="040E0019">
      <w:start w:val="1"/>
      <w:numFmt w:val="lowerLetter"/>
      <w:lvlText w:val="%5."/>
      <w:lvlJc w:val="left"/>
      <w:pPr>
        <w:ind w:left="3098" w:hanging="360"/>
      </w:pPr>
    </w:lvl>
    <w:lvl w:ilvl="5" w:tplc="040E001B">
      <w:start w:val="1"/>
      <w:numFmt w:val="lowerRoman"/>
      <w:lvlText w:val="%6."/>
      <w:lvlJc w:val="right"/>
      <w:pPr>
        <w:ind w:left="3818" w:hanging="180"/>
      </w:pPr>
    </w:lvl>
    <w:lvl w:ilvl="6" w:tplc="040E000F">
      <w:start w:val="1"/>
      <w:numFmt w:val="decimal"/>
      <w:lvlText w:val="%7."/>
      <w:lvlJc w:val="left"/>
      <w:pPr>
        <w:ind w:left="4538" w:hanging="360"/>
      </w:pPr>
    </w:lvl>
    <w:lvl w:ilvl="7" w:tplc="040E0019">
      <w:start w:val="1"/>
      <w:numFmt w:val="lowerLetter"/>
      <w:lvlText w:val="%8."/>
      <w:lvlJc w:val="left"/>
      <w:pPr>
        <w:ind w:left="5258" w:hanging="360"/>
      </w:pPr>
    </w:lvl>
    <w:lvl w:ilvl="8" w:tplc="040E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6647D7"/>
    <w:multiLevelType w:val="hybridMultilevel"/>
    <w:tmpl w:val="BF76A2A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30D03"/>
    <w:multiLevelType w:val="hybridMultilevel"/>
    <w:tmpl w:val="716E1FD2"/>
    <w:lvl w:ilvl="0" w:tplc="DCDEAD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76"/>
    <w:rsid w:val="00DD0219"/>
    <w:rsid w:val="00F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E6E7-9DA5-4502-AAE9-1474C7D4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5276"/>
    <w:pPr>
      <w:spacing w:after="0" w:line="240" w:lineRule="auto"/>
      <w:jc w:val="both"/>
    </w:pPr>
    <w:rPr>
      <w:rFonts w:ascii="Century Gothic" w:hAnsi="Century Gothic" w:cstheme="minorHAnsi"/>
      <w:sz w:val="24"/>
    </w:rPr>
  </w:style>
  <w:style w:type="paragraph" w:styleId="Cmsor1">
    <w:name w:val="heading 1"/>
    <w:basedOn w:val="Cm"/>
    <w:next w:val="Norml"/>
    <w:link w:val="Cmsor1Char"/>
    <w:uiPriority w:val="9"/>
    <w:qFormat/>
    <w:rsid w:val="00F05276"/>
    <w:pPr>
      <w:spacing w:line="360" w:lineRule="exact"/>
      <w:contextualSpacing w:val="0"/>
      <w:jc w:val="center"/>
      <w:outlineLvl w:val="0"/>
    </w:pPr>
    <w:rPr>
      <w:rFonts w:ascii="Century Gothic" w:eastAsia="Times New Roman" w:hAnsi="Century Gothic" w:cs="Arial"/>
      <w:b/>
      <w:bCs/>
      <w:spacing w:val="0"/>
      <w:kern w:val="0"/>
      <w:sz w:val="28"/>
      <w:szCs w:val="28"/>
      <w:lang w:eastAsia="hu-HU"/>
    </w:rPr>
  </w:style>
  <w:style w:type="paragraph" w:styleId="Cmsor2">
    <w:name w:val="heading 2"/>
    <w:basedOn w:val="Cmsor3"/>
    <w:next w:val="Norml"/>
    <w:link w:val="Cmsor2Char"/>
    <w:uiPriority w:val="9"/>
    <w:unhideWhenUsed/>
    <w:qFormat/>
    <w:rsid w:val="00F05276"/>
    <w:pPr>
      <w:jc w:val="left"/>
      <w:outlineLvl w:val="1"/>
    </w:pPr>
  </w:style>
  <w:style w:type="paragraph" w:styleId="Cmsor3">
    <w:name w:val="heading 3"/>
    <w:basedOn w:val="Norml"/>
    <w:next w:val="Norml"/>
    <w:link w:val="Cmsor3Char"/>
    <w:unhideWhenUsed/>
    <w:qFormat/>
    <w:rsid w:val="00F05276"/>
    <w:pPr>
      <w:tabs>
        <w:tab w:val="left" w:pos="1418"/>
      </w:tabs>
      <w:jc w:val="center"/>
      <w:outlineLvl w:val="2"/>
    </w:pPr>
    <w:rPr>
      <w:rFonts w:cs="Arial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5276"/>
    <w:rPr>
      <w:rFonts w:ascii="Century Gothic" w:eastAsia="Times New Roman" w:hAnsi="Century Gothic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05276"/>
    <w:rPr>
      <w:rFonts w:ascii="Century Gothic" w:hAnsi="Century Gothic" w:cs="Arial"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F05276"/>
    <w:rPr>
      <w:rFonts w:ascii="Century Gothic" w:hAnsi="Century Gothic" w:cs="Arial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F05276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F05276"/>
    <w:rPr>
      <w:rFonts w:ascii="Century Gothic" w:hAnsi="Century Gothic" w:cstheme="minorHAnsi"/>
      <w:sz w:val="24"/>
    </w:rPr>
  </w:style>
  <w:style w:type="character" w:customStyle="1" w:styleId="BekezdsChar">
    <w:name w:val="Bekezdés Char"/>
    <w:basedOn w:val="Bekezdsalapbettpusa"/>
    <w:link w:val="Bekezds"/>
    <w:locked/>
    <w:rsid w:val="00F05276"/>
    <w:rPr>
      <w:rFonts w:ascii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qFormat/>
    <w:rsid w:val="00F05276"/>
    <w:pPr>
      <w:autoSpaceDE w:val="0"/>
      <w:autoSpaceDN w:val="0"/>
      <w:adjustRightInd w:val="0"/>
      <w:spacing w:after="120" w:line="276" w:lineRule="auto"/>
      <w:ind w:firstLine="142"/>
    </w:pPr>
    <w:rPr>
      <w:rFonts w:ascii="Times New Roman" w:hAnsi="Times New Roman" w:cs="Times New Roman"/>
      <w:szCs w:val="24"/>
    </w:rPr>
  </w:style>
  <w:style w:type="paragraph" w:customStyle="1" w:styleId="Listaszerbekezds2">
    <w:name w:val="Listaszerű bekezdés2"/>
    <w:basedOn w:val="Norml"/>
    <w:uiPriority w:val="99"/>
    <w:semiHidden/>
    <w:rsid w:val="00F05276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Listaszerbekezds3">
    <w:name w:val="Listaszerű bekezdés3"/>
    <w:basedOn w:val="Norml"/>
    <w:uiPriority w:val="99"/>
    <w:semiHidden/>
    <w:rsid w:val="00F05276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Cm">
    <w:name w:val="Title"/>
    <w:basedOn w:val="Norml"/>
    <w:next w:val="Norml"/>
    <w:link w:val="CmChar"/>
    <w:uiPriority w:val="10"/>
    <w:qFormat/>
    <w:rsid w:val="00F052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6084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Négyesiné Mizsák Alexandra</dc:creator>
  <cp:keywords/>
  <dc:description/>
  <cp:lastModifiedBy>Négyesiné Mizsák Alexandra</cp:lastModifiedBy>
  <cp:revision>1</cp:revision>
  <dcterms:created xsi:type="dcterms:W3CDTF">2018-10-31T08:17:00Z</dcterms:created>
  <dcterms:modified xsi:type="dcterms:W3CDTF">2018-10-31T08:17:00Z</dcterms:modified>
</cp:coreProperties>
</file>