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617" w:rsidRPr="00EB5779" w:rsidRDefault="006E6617" w:rsidP="00EB5779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Badacsonytomaj Város</w:t>
      </w:r>
      <w:r w:rsidR="0056472F"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Önkormányzat</w:t>
      </w: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</w:t>
      </w:r>
      <w:r w:rsidR="0056472F"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Képviselő-testületének </w:t>
      </w:r>
    </w:p>
    <w:p w:rsidR="0056472F" w:rsidRPr="00EB5779" w:rsidRDefault="006E6617" w:rsidP="00EB5779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…</w:t>
      </w:r>
      <w:r w:rsidR="0056472F"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/201</w:t>
      </w:r>
      <w:r w:rsidR="00860DAD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9</w:t>
      </w: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.</w:t>
      </w:r>
      <w:r w:rsidR="0056472F"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(</w:t>
      </w:r>
      <w:r w:rsidR="00860DAD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IX</w:t>
      </w: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…</w:t>
      </w:r>
      <w:r w:rsidR="0056472F"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.) önkormányzati rendelete</w:t>
      </w:r>
    </w:p>
    <w:p w:rsidR="0056472F" w:rsidRPr="00EB5779" w:rsidRDefault="0056472F" w:rsidP="00EB5779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 különleges személyszállító szolgáltatást nyújtó járművel végzett személyszállítási szolgáltatás feltételeiről, várakozóhelyek létesítésének és igénybevételének rendjéről</w:t>
      </w:r>
    </w:p>
    <w:p w:rsidR="0056472F" w:rsidRPr="00EB5779" w:rsidRDefault="0056472F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 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Önkormányzatának Képviselő-testülete a személyszállítási szolgáltatásokról szóló 2012. évi XLI</w:t>
      </w:r>
      <w:r w:rsidR="00860DAD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tör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vény 12/A.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§ (2)-(5)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bekezdéseiben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és 49.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§ (3) bekezdésé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ben kapott felhatalmazás alapján, </w:t>
      </w: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Alaptörvény 32. cikk (1) bekezdés a) pontjában meghatározott feladatkörében eljárva a következőket rendeli el:</w:t>
      </w:r>
    </w:p>
    <w:p w:rsidR="0056472F" w:rsidRPr="00EB5779" w:rsidRDefault="0056472F" w:rsidP="00EB5779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1. Általános rendelkezések</w:t>
      </w:r>
    </w:p>
    <w:p w:rsidR="0056472F" w:rsidRPr="00EB5779" w:rsidRDefault="0056472F" w:rsidP="00EB5779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1.§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E rendelet alkalmazásában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:</w:t>
      </w:r>
    </w:p>
    <w:p w:rsidR="00E33722" w:rsidRPr="003A6BC6" w:rsidRDefault="00E33722" w:rsidP="00EB5779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BABU: </w:t>
      </w:r>
      <w:r w:rsidR="00EA3FDB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YJD 252 és YJD 246 forgalmi rendszámú </w:t>
      </w:r>
      <w:r w:rsidRP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elektromos </w:t>
      </w:r>
      <w:r w:rsidR="003A6BC6" w:rsidRP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lassújármű</w:t>
      </w:r>
    </w:p>
    <w:p w:rsidR="009C18DC" w:rsidRPr="00EB5779" w:rsidRDefault="0056472F" w:rsidP="00EB5779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várakozóhely: a közterületnek olyan kijelölt része, amely a különleges személyszállító szolgáltatást nyújtó járművek utas felvételi céllal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történő tartózkodására szolgá</w:t>
      </w:r>
      <w:r w:rsid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l.</w:t>
      </w:r>
    </w:p>
    <w:p w:rsidR="004D1844" w:rsidRPr="004D1844" w:rsidRDefault="004D1844" w:rsidP="004D184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4D184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különleges személyszállító szolgáltatás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t nyújtó jármű</w:t>
      </w:r>
      <w:r w:rsidRPr="004D184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: a személyszállítási szolgáltatásokról szóló 2012. évi XLI. törvény 2.§ 12. pont</w:t>
      </w:r>
      <w:r w:rsid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d) alpont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ja szerinti jármű.</w:t>
      </w:r>
    </w:p>
    <w:p w:rsidR="0056472F" w:rsidRPr="00EB5779" w:rsidRDefault="009C18DC" w:rsidP="00EB5779">
      <w:pPr>
        <w:spacing w:after="0" w:line="240" w:lineRule="auto"/>
        <w:ind w:left="705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2.§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közigazgatási területén különleges személyszállító szolgáltatást nyújtó járművel végzett személyszállítási szolgáltatást a vonatkozó egyéb jogszabályokban előírt feltételeken túl e rendeletben foglaltak szerint lehet folytatni.</w:t>
      </w:r>
    </w:p>
    <w:p w:rsidR="0056472F" w:rsidRPr="00EB5779" w:rsidRDefault="0056472F" w:rsidP="00EB5779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2. A különleges személyszállító szolgáltatást nyújtó járművel végzett személyszállítási szolgáltatás folytatásának feltételei</w:t>
      </w: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9C18DC" w:rsidP="00EB5779">
      <w:pPr>
        <w:spacing w:after="0" w:line="240" w:lineRule="auto"/>
        <w:ind w:left="705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3.§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Különleges személyszállító szolgáltat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ást nyújtó járművel</w:t>
      </w:r>
      <w:r w:rsid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végzett személyszállítási szolgáltatást kizárólag a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 Képviselő-testülete (a továbbiakban: Képviselő-testület) által kiadott útvonalengedély és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Önkormányzatával 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(a továbbiakban: Önkormányzat)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megkötött határozott idejű közterület-használati megállapodás birtokában lehet folytatni.</w:t>
      </w:r>
    </w:p>
    <w:p w:rsidR="0056472F" w:rsidRPr="00EB5779" w:rsidRDefault="0056472F" w:rsidP="00EB5779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3. A várakozóhelyek létesítésére és igénybevételére vonatkozó szabályok</w:t>
      </w:r>
    </w:p>
    <w:p w:rsidR="009C18DC" w:rsidRPr="00EB5779" w:rsidRDefault="009C18DC" w:rsidP="00EB5779">
      <w:pPr>
        <w:spacing w:after="0" w:line="240" w:lineRule="auto"/>
        <w:ind w:left="705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ind w:left="705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4.§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(1)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közterületein várakozóhely létesítése, használata és üzemeltetése e rendelet szabályai szerint engedélyezhető és végezhető.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(2)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E rendelet alkalmazása szempontjából közterület az ingatlan-nyilvántartásban közterületként nyilvántartott belterületi földrészlet, valamint a belterületi földrészlet, építmény közhasználatra, jármű- vagy gyalogosforgalom részére átadott része, ideértve az ingatlan-nyilvántartás szerint közforgalom elől el nem zárt magánutakat is.</w:t>
      </w:r>
    </w:p>
    <w:p w:rsidR="0056472F" w:rsidRPr="00EB5779" w:rsidRDefault="0056472F" w:rsidP="00EB5779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5.§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(1)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árakozóhelyet kizáró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lag az Önkormányzat létesíthet.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(2)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 által kijelölt várakozóhelyeket jelen rendelet </w:t>
      </w:r>
      <w:r w:rsidR="003A6BC6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 melléklete tartalmazza</w:t>
      </w:r>
      <w:r w:rsidR="00EA3FDB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, mely várakozóhelyeket kizárólag a</w:t>
      </w:r>
      <w:r w:rsidR="009C535B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z engedélyes</w:t>
      </w:r>
      <w:r w:rsidR="00EA3FDB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vehet igénybe.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(3)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Vásárok, kiállítások, sportesemények, rendezvények alkalmával ideiglenes várakozóhely is létesíthető.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(4)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Közterület-használatot is megvalósító várakozóhely létesítésére, használatára és üzemeltetésére a közterület tulajdonosától közterület-használati hozzájárulást kell kérni. A hozzájárulás határozott időtartamra vagy meghatározott feltétel bekövetkeztéig adható.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(5)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 tulajdonában lévő közterületeken a várakozóhely létesítésére, használatára és üzemeltetésére irányuló közterület-használati hozzájárulásról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lastRenderedPageBreak/>
        <w:t xml:space="preserve">jelen rendelet előírásai alapján és a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Önkormányzata tulajdonában álló közterületek használatáról szóló mindenkor hatályos önkormányzati rendeletben foglalt hatásköri és eljárási szabályok megfele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lő alkalmazásával kell dönteni.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(6)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közterület-használati hozzájárulás feltételeit a tulajdonos Önkormányzat megállapodásban rögzíti.</w:t>
      </w:r>
    </w:p>
    <w:p w:rsidR="00EB5779" w:rsidRPr="00EB5779" w:rsidRDefault="00EB5779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ind w:left="705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 xml:space="preserve">6.§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(1)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területén különleges személyszállító szolgáltatást nyújtó járművel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végzett személyszállítási szolgáltatás végzésére jogosító útvonalengedélyt a Képviselő-testület adja ki.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(2)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E rendelet hatálya alá tartozó várakozóhelyeket a különleges személyszállító szolgáltatást nyújtó járművel végzett személyszállítási szolgáltatást végző vállalkozás (a továbbiakban: vállalkozás) csak útvonalengedély birtokában használhatja.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(3)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 vállalkozás az útvonalengedély iránti kérelmet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Város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Önkormányzatánál nyújthatja be.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(4)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kérelemnek az alábbi adatokat kell tartalmaznia: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vállalkozás neve,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egyéni vállalkozó esetén a születési helye, ideje, anyja neve, lakcíme, levelezési címe, vállalkozói igazolványának száma,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gazdasági társaságok esetén a vállalkozás székhelye, levelezési címe, cégjegyzékszáma, adószáma,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különleges személyszállító szolgáltatást nyújtó jármű forgalmi rendszáma, rendszámai,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különleges személyszállító szolgáltatást nyújtó jármű gyártmánya, típusa, színe,</w:t>
      </w:r>
    </w:p>
    <w:p w:rsidR="0056472F" w:rsidRPr="00EB5779" w:rsidRDefault="0056472F" w:rsidP="00EB57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Önkormányzattal megkötött közterület-használati megállapodást.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(5)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kérelemhez mellékelni kell egyéni vállalkozó esetén a vállalkozói igazolványának, vagy az erről szóló igazolásnak, gazdasági társaság esetén a társaság 30 napnál nem régebbi cégkivonatának és a vezető tisztségviselő aláírási címpéldányának vagy aláírás-mintájának másolatát.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(6)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útvonalengedély kiadása előtt jogosult az alábbi okiratokat megtekinteni:</w:t>
      </w:r>
    </w:p>
    <w:p w:rsidR="0056472F" w:rsidRPr="00EB5779" w:rsidRDefault="0056472F" w:rsidP="00EB577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vállalkozói igazolvány eredeti példányát vagy az erről szóló igazolás eredeti példányát,</w:t>
      </w:r>
    </w:p>
    <w:p w:rsidR="0056472F" w:rsidRPr="00EB5779" w:rsidRDefault="0056472F" w:rsidP="00EB577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cégkivonat hiteles példányát,</w:t>
      </w:r>
    </w:p>
    <w:p w:rsidR="0056472F" w:rsidRPr="00EB5779" w:rsidRDefault="0056472F" w:rsidP="00EB577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aláírási címpéldány vagy az aláírás-minta eredeti példányát,</w:t>
      </w:r>
    </w:p>
    <w:p w:rsidR="0056472F" w:rsidRPr="00EB5779" w:rsidRDefault="0056472F" w:rsidP="00EB577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forgalmi engedélyt,</w:t>
      </w:r>
    </w:p>
    <w:p w:rsidR="0056472F" w:rsidRPr="00EB5779" w:rsidRDefault="0056472F" w:rsidP="00EB577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illetékes közlekedési hatóság által kiállított okiratot.</w:t>
      </w:r>
    </w:p>
    <w:p w:rsidR="009C18DC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(7)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Képviselő-testület – szükség esetén a jármű megszemlélését követően – az útvonalengedélyt csak abban az esetben adja ki, ha a vállalkozás és a jármű e rendelet feltételeinek megfelel.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(8)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Az útvonalengedély az alábbi két részből áll:</w:t>
      </w:r>
    </w:p>
    <w:p w:rsidR="0056472F" w:rsidRPr="00EB5779" w:rsidRDefault="0056472F" w:rsidP="00EB577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képviselő-testület által kiadott, várakozóhely-használati hozzájárulás megállapodás megkötését igazoló kártya (a továbbiakban: kártya),</w:t>
      </w:r>
    </w:p>
    <w:p w:rsidR="0056472F" w:rsidRPr="00EB5779" w:rsidRDefault="00EB5779" w:rsidP="00EB577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által kiadott, sorszám szerint nyilvántartott öntapadós matrica (a továbbiakban: matrica).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(9)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által biztosított matricát a különleges személyszállító szolgáltatást nyújtó jármű szélvédőjén, a belső visszapillantó tükör mögött kell elhelyezni. A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z Önkormányzat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által biztosított kártyát a különleges személyszállító szolgáltatást nyújtó jármű vezetője ellenőrzés esetén köteles átadni.</w:t>
      </w:r>
    </w:p>
    <w:p w:rsidR="0056472F" w:rsidRPr="00EB5779" w:rsidRDefault="0056472F" w:rsidP="00EB5779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(10)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Képviselő-testület a vállalkozás által rendelkezésére bocsátott adatok ellenőrzésére az útvonalengedély érvényességének ideje alatt is jogosult. E célból felkérheti a vállalkozást az (5) és (6) bekezdés szerinti okiratok felmutatására és elvégezheti a jármű szemléjét.</w:t>
      </w:r>
    </w:p>
    <w:p w:rsidR="0056472F" w:rsidRPr="00EB5779" w:rsidRDefault="0056472F" w:rsidP="00EB5779">
      <w:pPr>
        <w:spacing w:after="0" w:line="240" w:lineRule="auto"/>
        <w:ind w:firstLine="180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lastRenderedPageBreak/>
        <w:t>4. Különleges személyszállító szolgáltatást nyújtó jármű végzett jogellenes személyszállítási szolgáltatás jogkövetkezménye</w:t>
      </w:r>
    </w:p>
    <w:p w:rsidR="009C18DC" w:rsidRPr="00EB5779" w:rsidRDefault="009C18DC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</w:p>
    <w:p w:rsidR="009C18DC" w:rsidRPr="00EB5779" w:rsidRDefault="009C18DC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>7.§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(1)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 kijelölt útvonal és a várakozóhely használatával kapcsolatos szabályok betartását a hatáskörrel és illetékességgel rendelkező hatóságok mellett a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i Közös Önkormányza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ti Hivatal közterület-felügyelője is jogosult és köteles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ellenőrizni. Az ellenőrzést az érintett szervek közösen is végezhetik.</w:t>
      </w:r>
    </w:p>
    <w:p w:rsidR="009C18DC" w:rsidRPr="00EB5779" w:rsidRDefault="0056472F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(2)  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Aki e rendeletben foglalt a különleges személyszállító szolgáltatást nyújtó járművel végzett személyszállítási szolgáltatásra vonatkozó előírásokat megsérti, vagy a várakozóhelyet nem rendeltetésszerűen használja – ideértve különösen a szándékos vagy súlyosan gondatlan szennyezést, rongálást –, attól a Képviselő-testület az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útvonalengedélyt  visszavonja.</w:t>
      </w:r>
    </w:p>
    <w:p w:rsidR="009C18DC" w:rsidRPr="00EB5779" w:rsidRDefault="0056472F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(3)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útvonalengedély visszavonásáról szóló határozat kézhezvételét követő 3 napon belül a vállalkozás a részére átadott kártyát köteles 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titkárságán leadni, és a különleges személyszállító szolgáltatást nyújtó já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rműről a matricát eltávolítani.</w:t>
      </w:r>
    </w:p>
    <w:p w:rsidR="009C18DC" w:rsidRPr="00EB5779" w:rsidRDefault="0056472F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(4)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 helyszíni bírság megfizetése, a közigazgatási hatósági eljárás kezdeményezése nem mentesít 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az Önkormányzatnak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 várakozóhely helyreállításával kapcsolatban felmerült költségei megf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izetésének kötelezettsége alól.</w:t>
      </w:r>
    </w:p>
    <w:p w:rsidR="0056472F" w:rsidRPr="00EB5779" w:rsidRDefault="0056472F" w:rsidP="00EB5779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(5) </w:t>
      </w:r>
      <w:r w:rsidR="009C18DC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Aki e rendeletben foglalt a különleges személyszállító szolgáltatást nyújtó járművel végzett személyszállítási szolgáltatásra vonatkozó előírásokat megsérti, vagy a várakozóhelyet nem rendeltetésszerűen használja –</w:t>
      </w:r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  <w:r w:rsid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ide értve különösen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azt</w:t>
      </w:r>
      <w:r w:rsid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,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aki érvényes útvonalengedély nélkül, a kijelölt útvonaltól eltérő útvonalon, a várakozó helyek igénybevétele nélkül – végzi a személyszállítási szolgáltatást, az közösségi együttélés szabályaival ellentétes magatartást tanúsít.</w:t>
      </w:r>
    </w:p>
    <w:p w:rsidR="0056472F" w:rsidRPr="00EB5779" w:rsidRDefault="0056472F" w:rsidP="00EB5779">
      <w:pPr>
        <w:spacing w:after="0" w:line="240" w:lineRule="auto"/>
        <w:ind w:firstLine="180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Pr="00EB5779" w:rsidRDefault="0056472F" w:rsidP="00EB5779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5. Záró és átmeneti rendelkezések</w:t>
      </w:r>
    </w:p>
    <w:p w:rsidR="009C18DC" w:rsidRPr="00EB5779" w:rsidRDefault="009C18DC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56472F" w:rsidRDefault="009C18DC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8.§ </w:t>
      </w:r>
      <w:r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Ez a rendelet 201</w:t>
      </w:r>
      <w:r w:rsidR="00EA3FDB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9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. </w:t>
      </w:r>
      <w:r w:rsidR="00BD3081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november</w:t>
      </w:r>
      <w:bookmarkStart w:id="0" w:name="_GoBack"/>
      <w:bookmarkEnd w:id="0"/>
      <w:r w:rsidR="00EB5779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...</w:t>
      </w:r>
      <w:r w:rsidR="0056472F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 napján lép hatályba.</w:t>
      </w:r>
    </w:p>
    <w:p w:rsidR="00EB5779" w:rsidRPr="00EB5779" w:rsidRDefault="00EB5779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EB5779" w:rsidRPr="00EB5779" w:rsidRDefault="00EB5779" w:rsidP="00EB57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518"/>
      </w:tblGrid>
      <w:tr w:rsidR="00EB5779" w:rsidRPr="00EB5779" w:rsidTr="004D1844">
        <w:tc>
          <w:tcPr>
            <w:tcW w:w="4819" w:type="dxa"/>
            <w:shd w:val="clear" w:color="auto" w:fill="auto"/>
          </w:tcPr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Krisztin N. László</w:t>
            </w:r>
            <w:r w:rsidR="00C24127">
              <w:rPr>
                <w:rFonts w:ascii="Garamond" w:hAnsi="Garamond"/>
                <w:sz w:val="24"/>
                <w:szCs w:val="24"/>
              </w:rPr>
              <w:t xml:space="preserve"> sk.</w:t>
            </w:r>
          </w:p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polgármester</w:t>
            </w:r>
          </w:p>
        </w:tc>
        <w:tc>
          <w:tcPr>
            <w:tcW w:w="4819" w:type="dxa"/>
            <w:shd w:val="clear" w:color="auto" w:fill="auto"/>
          </w:tcPr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Wolf Viktória</w:t>
            </w:r>
            <w:r w:rsidR="00C24127">
              <w:rPr>
                <w:rFonts w:ascii="Garamond" w:hAnsi="Garamond"/>
                <w:sz w:val="24"/>
                <w:szCs w:val="24"/>
              </w:rPr>
              <w:t xml:space="preserve"> sk.</w:t>
            </w:r>
          </w:p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</w:tbl>
    <w:p w:rsidR="00EB5779" w:rsidRPr="00EB5779" w:rsidRDefault="00EB5779" w:rsidP="00EB57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B5779">
        <w:rPr>
          <w:rFonts w:ascii="Garamond" w:hAnsi="Garamond"/>
          <w:sz w:val="24"/>
          <w:szCs w:val="24"/>
        </w:rPr>
        <w:t xml:space="preserve">    </w:t>
      </w:r>
      <w:r w:rsidRPr="00EB5779">
        <w:rPr>
          <w:rFonts w:ascii="Garamond" w:hAnsi="Garamond"/>
          <w:sz w:val="24"/>
          <w:szCs w:val="24"/>
        </w:rPr>
        <w:tab/>
        <w:t xml:space="preserve">            </w:t>
      </w:r>
    </w:p>
    <w:p w:rsidR="00212555" w:rsidRDefault="00212555" w:rsidP="00EB5779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p w:rsidR="00212555" w:rsidRDefault="00212555" w:rsidP="00EB5779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p w:rsidR="00EB5779" w:rsidRPr="00EB5779" w:rsidRDefault="00EB5779" w:rsidP="00EB5779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  <w:r w:rsidRPr="00EB5779">
        <w:rPr>
          <w:rFonts w:ascii="Garamond" w:hAnsi="Garamond"/>
          <w:sz w:val="24"/>
          <w:szCs w:val="24"/>
        </w:rPr>
        <w:t>Jelen rendelet kihirdetésre került 201</w:t>
      </w:r>
      <w:r w:rsidR="00BD3081">
        <w:rPr>
          <w:rFonts w:ascii="Garamond" w:hAnsi="Garamond"/>
          <w:sz w:val="24"/>
          <w:szCs w:val="24"/>
        </w:rPr>
        <w:t>9</w:t>
      </w:r>
      <w:r w:rsidRPr="00EB5779">
        <w:rPr>
          <w:rFonts w:ascii="Garamond" w:hAnsi="Garamond"/>
          <w:sz w:val="24"/>
          <w:szCs w:val="24"/>
        </w:rPr>
        <w:t xml:space="preserve">. </w:t>
      </w:r>
      <w:r w:rsidR="00BD3081">
        <w:rPr>
          <w:rFonts w:ascii="Garamond" w:hAnsi="Garamond"/>
          <w:sz w:val="24"/>
          <w:szCs w:val="24"/>
        </w:rPr>
        <w:t>november</w:t>
      </w:r>
      <w:r w:rsidRPr="00EB57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</w:t>
      </w:r>
      <w:r w:rsidRPr="00EB5779">
        <w:rPr>
          <w:rFonts w:ascii="Garamond" w:hAnsi="Garamond"/>
          <w:sz w:val="24"/>
          <w:szCs w:val="24"/>
        </w:rPr>
        <w:t>. napján.</w:t>
      </w:r>
    </w:p>
    <w:p w:rsidR="00EB5779" w:rsidRPr="00EB5779" w:rsidRDefault="00EB5779" w:rsidP="00EB5779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1"/>
        <w:gridCol w:w="4561"/>
      </w:tblGrid>
      <w:tr w:rsidR="00EB5779" w:rsidRPr="00EB5779" w:rsidTr="004D1844">
        <w:tc>
          <w:tcPr>
            <w:tcW w:w="4819" w:type="dxa"/>
            <w:shd w:val="clear" w:color="auto" w:fill="auto"/>
          </w:tcPr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Wolf Viktória</w:t>
            </w:r>
            <w:r w:rsidR="00C24127">
              <w:rPr>
                <w:rFonts w:ascii="Garamond" w:hAnsi="Garamond"/>
                <w:sz w:val="24"/>
                <w:szCs w:val="24"/>
              </w:rPr>
              <w:t xml:space="preserve"> sk.</w:t>
            </w:r>
          </w:p>
          <w:p w:rsidR="00EB5779" w:rsidRPr="00EB5779" w:rsidRDefault="00EB5779" w:rsidP="00EB577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</w:tbl>
    <w:p w:rsidR="00EB5779" w:rsidRPr="00EB5779" w:rsidRDefault="00EB5779" w:rsidP="00EB5779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535B" w:rsidRDefault="009C535B">
      <w:pPr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br w:type="page"/>
      </w:r>
    </w:p>
    <w:p w:rsidR="0056472F" w:rsidRDefault="009C535B" w:rsidP="009C535B">
      <w:pPr>
        <w:pStyle w:val="Listaszerbekezds"/>
        <w:numPr>
          <w:ilvl w:val="0"/>
          <w:numId w:val="11"/>
        </w:numPr>
        <w:spacing w:after="0" w:line="240" w:lineRule="auto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lastRenderedPageBreak/>
        <w:t>melléklet a …./2019.(XI…) önkormányzati rendelethez</w:t>
      </w:r>
    </w:p>
    <w:p w:rsidR="009C535B" w:rsidRDefault="009C535B" w:rsidP="009C535B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9C535B" w:rsidRDefault="009C535B" w:rsidP="009C535B">
      <w:pPr>
        <w:pStyle w:val="Listaszerbekezds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BABU részére </w:t>
      </w:r>
      <w:r w:rsidR="005A6E9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kijelölt 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és általa igénybe vehető várakozóhelyek:</w:t>
      </w:r>
    </w:p>
    <w:p w:rsidR="00386E95" w:rsidRPr="00386E95" w:rsidRDefault="009C535B" w:rsidP="00386E95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, Kert utca Tatay Sándor Általános Iskola</w:t>
      </w:r>
    </w:p>
    <w:p w:rsidR="009C535B" w:rsidRP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, Körforgalom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</w:t>
      </w:r>
    </w:p>
    <w:p w:rsidR="009C535B" w:rsidRP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örs, Csigáskúti utca bejárat</w:t>
      </w:r>
    </w:p>
    <w:p w:rsidR="009C535B" w:rsidRP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örs, Vánkos Panzió</w:t>
      </w:r>
    </w:p>
    <w:p w:rsidR="009C535B" w:rsidRP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örs, Kemping utca bejárat</w:t>
      </w:r>
    </w:p>
    <w:p w:rsidR="009C535B" w:rsidRP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örs, Kápolnavölgyi utca bejárat</w:t>
      </w:r>
    </w:p>
    <w:p w:rsidR="009C535B" w:rsidRDefault="009C535B" w:rsidP="009C535B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</w:t>
      </w:r>
      <w:r w:rsidR="00386E95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örs játszótér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Béke utca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József Attila utca ABC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József Attila utca vége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Borostyán utca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Sport utca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Tűzoltóság</w:t>
      </w:r>
    </w:p>
    <w:p w:rsid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Fő utca 14.</w:t>
      </w:r>
    </w:p>
    <w:p w:rsid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Vasútállomás</w:t>
      </w:r>
    </w:p>
    <w:p w:rsid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Bányász strand</w:t>
      </w:r>
    </w:p>
    <w:p w:rsid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Egry József Emlékmúzeum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Bacchus Vendéglő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Neptun Panzió</w:t>
      </w:r>
    </w:p>
    <w:p w:rsid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Badacsony, </w:t>
      </w:r>
      <w:r w:rsidRPr="005A6E9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Kisfaludy utca bejárat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Gróf-domb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Óbester Panzió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Muskotály utca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Tourinform Iroda</w:t>
      </w:r>
    </w:p>
    <w:p w:rsidR="005A6E9C" w:rsidRPr="009C535B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71. számú főút Badacsony Strand túloldalán</w:t>
      </w:r>
    </w:p>
    <w:p w:rsidR="009C535B" w:rsidRPr="005A6E9C" w:rsidRDefault="005A6E9C" w:rsidP="005A6E9C">
      <w:pPr>
        <w:pStyle w:val="Listaszerbekezds"/>
        <w:numPr>
          <w:ilvl w:val="1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Badacsony Kemping</w:t>
      </w:r>
    </w:p>
    <w:sectPr w:rsidR="009C535B" w:rsidRPr="005A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64D1"/>
    <w:multiLevelType w:val="hybridMultilevel"/>
    <w:tmpl w:val="38266D72"/>
    <w:lvl w:ilvl="0" w:tplc="B99ADE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C5A6361"/>
    <w:multiLevelType w:val="multilevel"/>
    <w:tmpl w:val="5C92A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FFC2DF9"/>
    <w:multiLevelType w:val="hybridMultilevel"/>
    <w:tmpl w:val="CBDA1F5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3059BD"/>
    <w:multiLevelType w:val="hybridMultilevel"/>
    <w:tmpl w:val="578AB86A"/>
    <w:lvl w:ilvl="0" w:tplc="C2C6B7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F025CD"/>
    <w:multiLevelType w:val="hybridMultilevel"/>
    <w:tmpl w:val="1D7EF3A0"/>
    <w:lvl w:ilvl="0" w:tplc="D4B81A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E3765BD"/>
    <w:multiLevelType w:val="hybridMultilevel"/>
    <w:tmpl w:val="28FA7586"/>
    <w:lvl w:ilvl="0" w:tplc="6850516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E6E197A"/>
    <w:multiLevelType w:val="hybridMultilevel"/>
    <w:tmpl w:val="4D3ECF74"/>
    <w:lvl w:ilvl="0" w:tplc="9E14CF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B2AC0"/>
    <w:multiLevelType w:val="multilevel"/>
    <w:tmpl w:val="7CD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667F7"/>
    <w:multiLevelType w:val="hybridMultilevel"/>
    <w:tmpl w:val="626C60FE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62F4057"/>
    <w:multiLevelType w:val="hybridMultilevel"/>
    <w:tmpl w:val="23640F58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D528EC"/>
    <w:multiLevelType w:val="hybridMultilevel"/>
    <w:tmpl w:val="4B2E8AFE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A8168FD"/>
    <w:multiLevelType w:val="hybridMultilevel"/>
    <w:tmpl w:val="594637E8"/>
    <w:lvl w:ilvl="0" w:tplc="ADFC51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2F"/>
    <w:rsid w:val="00212555"/>
    <w:rsid w:val="00331EA8"/>
    <w:rsid w:val="00386E95"/>
    <w:rsid w:val="003A6BC6"/>
    <w:rsid w:val="004D1844"/>
    <w:rsid w:val="0056472F"/>
    <w:rsid w:val="005A6E9C"/>
    <w:rsid w:val="005A7435"/>
    <w:rsid w:val="006E6617"/>
    <w:rsid w:val="00860DAD"/>
    <w:rsid w:val="00951B68"/>
    <w:rsid w:val="009C18DC"/>
    <w:rsid w:val="009C535B"/>
    <w:rsid w:val="00AC4C4F"/>
    <w:rsid w:val="00BD3081"/>
    <w:rsid w:val="00BE2F79"/>
    <w:rsid w:val="00C24127"/>
    <w:rsid w:val="00D41B0F"/>
    <w:rsid w:val="00E33722"/>
    <w:rsid w:val="00EA3FDB"/>
    <w:rsid w:val="00EB5779"/>
    <w:rsid w:val="00EB7B90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B90A"/>
  <w15:chartTrackingRefBased/>
  <w15:docId w15:val="{87D67889-DC5A-48CC-8BBE-2AFCEF2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64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6472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472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6472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C18DC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EB57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EB577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60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3331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134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6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6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9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1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3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1180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Viki</cp:lastModifiedBy>
  <cp:revision>11</cp:revision>
  <dcterms:created xsi:type="dcterms:W3CDTF">2019-09-19T08:39:00Z</dcterms:created>
  <dcterms:modified xsi:type="dcterms:W3CDTF">2019-10-24T16:17:00Z</dcterms:modified>
</cp:coreProperties>
</file>