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7C0" w:rsidRPr="006E3E0F" w:rsidRDefault="00A817C0" w:rsidP="00A817C0">
      <w:pPr>
        <w:widowControl/>
        <w:suppressAutoHyphens w:val="0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6E3E0F">
        <w:rPr>
          <w:rFonts w:ascii="Arial" w:hAnsi="Arial" w:cs="Arial"/>
          <w:sz w:val="22"/>
          <w:szCs w:val="22"/>
        </w:rPr>
        <w:t xml:space="preserve">. sz. </w:t>
      </w:r>
      <w:r>
        <w:rPr>
          <w:rFonts w:ascii="Arial" w:hAnsi="Arial" w:cs="Arial"/>
          <w:sz w:val="22"/>
          <w:szCs w:val="22"/>
        </w:rPr>
        <w:t>függelék</w:t>
      </w:r>
      <w:r w:rsidRPr="006E3E0F">
        <w:rPr>
          <w:rFonts w:ascii="Arial" w:hAnsi="Arial" w:cs="Arial"/>
          <w:sz w:val="22"/>
          <w:szCs w:val="22"/>
        </w:rPr>
        <w:t xml:space="preserve"> - Természet- és tájvédelmi szempontból tiltott fajok listája</w:t>
      </w:r>
    </w:p>
    <w:p w:rsidR="00A817C0" w:rsidRPr="006E3E0F" w:rsidRDefault="00A817C0" w:rsidP="00A817C0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817C0" w:rsidRPr="006E3E0F" w:rsidRDefault="00A817C0" w:rsidP="00A817C0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817C0" w:rsidRPr="006E3E0F" w:rsidRDefault="00A817C0" w:rsidP="00A817C0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E3E0F">
        <w:rPr>
          <w:rFonts w:ascii="Arial" w:hAnsi="Arial" w:cs="Arial"/>
          <w:b/>
          <w:sz w:val="22"/>
          <w:szCs w:val="22"/>
          <w:u w:val="single"/>
        </w:rPr>
        <w:t>1143/2014. EU rendelet</w:t>
      </w:r>
    </w:p>
    <w:p w:rsidR="00A817C0" w:rsidRPr="006E3E0F" w:rsidRDefault="00A817C0" w:rsidP="00A817C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E3E0F">
        <w:rPr>
          <w:rFonts w:ascii="Arial" w:hAnsi="Arial" w:cs="Arial"/>
          <w:b/>
          <w:sz w:val="22"/>
          <w:szCs w:val="22"/>
        </w:rPr>
        <w:t>az idegenhonos inváziós fajok betelepítésének vagy behurcolásának</w:t>
      </w:r>
    </w:p>
    <w:p w:rsidR="00A817C0" w:rsidRPr="006E3E0F" w:rsidRDefault="00A817C0" w:rsidP="00A817C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E3E0F">
        <w:rPr>
          <w:rFonts w:ascii="Arial" w:hAnsi="Arial" w:cs="Arial"/>
          <w:b/>
          <w:sz w:val="22"/>
          <w:szCs w:val="22"/>
        </w:rPr>
        <w:t xml:space="preserve"> és terjedésének megelőzéséről és kezeléséről</w:t>
      </w:r>
    </w:p>
    <w:p w:rsidR="00A817C0" w:rsidRPr="006E3E0F" w:rsidRDefault="00A817C0" w:rsidP="00A817C0">
      <w:pPr>
        <w:spacing w:after="120"/>
        <w:rPr>
          <w:rFonts w:ascii="Arial" w:hAnsi="Arial" w:cs="Arial"/>
          <w:sz w:val="22"/>
          <w:szCs w:val="22"/>
        </w:rPr>
      </w:pPr>
    </w:p>
    <w:p w:rsidR="00A817C0" w:rsidRPr="006E3E0F" w:rsidRDefault="00A817C0" w:rsidP="00A817C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E3E0F">
        <w:rPr>
          <w:rFonts w:ascii="Arial" w:hAnsi="Arial" w:cs="Arial"/>
          <w:sz w:val="22"/>
          <w:szCs w:val="22"/>
        </w:rPr>
        <w:t>A rendelet alapján a tagországok képviselőiből álló inváziós fajok elleni védelemért felelős bizottság elfogadta azt a növény- és állatfajlistát, mely az Unió számára veszélyt jelentő inváziós idegenhonos fajok jegyzékét alkotja. A listán szereplő fajok egyedeire vonatkozó szigorú szabályok szerint tilos az egész EU területén forgalomba hozni és a természetbe kibocsátani akár egyetlen példányt is, de a behozatalra, tartásra, tenyésztésre, szaporításra, szállításra, kereskedelemre és felhasználásra is hasonlóan szigorú szabályok vonatkoznak.</w:t>
      </w:r>
    </w:p>
    <w:p w:rsidR="00A817C0" w:rsidRPr="006E3E0F" w:rsidRDefault="00A817C0" w:rsidP="00A817C0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21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5580"/>
      </w:tblGrid>
      <w:tr w:rsidR="00A817C0" w:rsidRPr="006E3E0F" w:rsidTr="0093401C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b/>
                <w:bCs/>
                <w:sz w:val="22"/>
                <w:szCs w:val="22"/>
              </w:rPr>
              <w:t>Magyar név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b/>
                <w:bCs/>
                <w:sz w:val="22"/>
                <w:szCs w:val="22"/>
              </w:rPr>
              <w:t>Tudományos név</w:t>
            </w:r>
          </w:p>
        </w:tc>
      </w:tr>
      <w:tr w:rsidR="00A817C0" w:rsidRPr="006E3E0F" w:rsidTr="0093401C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borfa</w:t>
            </w:r>
            <w:proofErr w:type="spellEnd"/>
            <w:r w:rsidRPr="006E3E0F">
              <w:rPr>
                <w:rFonts w:ascii="Arial" w:hAnsi="Arial" w:cs="Arial"/>
                <w:sz w:val="22"/>
                <w:szCs w:val="22"/>
              </w:rPr>
              <w:t>, tengerparti seprűcserje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Baccharis</w:t>
            </w:r>
            <w:proofErr w:type="spellEnd"/>
            <w:r w:rsidRPr="006E3E0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halimifolia</w:t>
            </w:r>
            <w:proofErr w:type="spellEnd"/>
          </w:p>
        </w:tc>
      </w:tr>
      <w:tr w:rsidR="00A817C0" w:rsidRPr="006E3E0F" w:rsidTr="0093401C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kaliforniai tündérhínár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Cabomba</w:t>
            </w:r>
            <w:proofErr w:type="spellEnd"/>
            <w:r w:rsidRPr="006E3E0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caroliniana</w:t>
            </w:r>
            <w:proofErr w:type="spellEnd"/>
          </w:p>
        </w:tc>
      </w:tr>
      <w:tr w:rsidR="00A817C0" w:rsidRPr="006E3E0F" w:rsidTr="0093401C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vízijácint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Eichhornia</w:t>
            </w:r>
            <w:proofErr w:type="spellEnd"/>
            <w:r w:rsidRPr="006E3E0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crassipes</w:t>
            </w:r>
            <w:proofErr w:type="spellEnd"/>
          </w:p>
        </w:tc>
      </w:tr>
      <w:tr w:rsidR="00A817C0" w:rsidRPr="006E3E0F" w:rsidTr="0093401C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perzsa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Heracleum</w:t>
            </w:r>
            <w:proofErr w:type="spellEnd"/>
            <w:r w:rsidRPr="006E3E0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persicum</w:t>
            </w:r>
            <w:proofErr w:type="spellEnd"/>
          </w:p>
        </w:tc>
      </w:tr>
      <w:tr w:rsidR="00A817C0" w:rsidRPr="006E3E0F" w:rsidTr="0093401C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sosnowsky</w:t>
            </w:r>
            <w:proofErr w:type="spellEnd"/>
            <w:r w:rsidRPr="006E3E0F">
              <w:rPr>
                <w:rFonts w:ascii="Arial" w:hAnsi="Arial" w:cs="Arial"/>
                <w:sz w:val="22"/>
                <w:szCs w:val="22"/>
              </w:rPr>
              <w:t>-medvetalp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Heracleum</w:t>
            </w:r>
            <w:proofErr w:type="spellEnd"/>
            <w:r w:rsidRPr="006E3E0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sosnowskyi</w:t>
            </w:r>
            <w:proofErr w:type="spellEnd"/>
          </w:p>
        </w:tc>
      </w:tr>
      <w:tr w:rsidR="00A817C0" w:rsidRPr="006E3E0F" w:rsidTr="0093401C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hévízi gázló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Hydrocotyle</w:t>
            </w:r>
            <w:proofErr w:type="spellEnd"/>
            <w:r w:rsidRPr="006E3E0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ranunculoides</w:t>
            </w:r>
            <w:proofErr w:type="spellEnd"/>
          </w:p>
        </w:tc>
      </w:tr>
      <w:tr w:rsidR="00A817C0" w:rsidRPr="006E3E0F" w:rsidTr="0093401C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fodros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Lagarosiphon</w:t>
            </w:r>
            <w:proofErr w:type="spellEnd"/>
            <w:r w:rsidRPr="006E3E0F">
              <w:rPr>
                <w:rFonts w:ascii="Arial" w:hAnsi="Arial" w:cs="Arial"/>
                <w:sz w:val="22"/>
                <w:szCs w:val="22"/>
              </w:rPr>
              <w:t xml:space="preserve"> major</w:t>
            </w:r>
          </w:p>
        </w:tc>
      </w:tr>
      <w:tr w:rsidR="00A817C0" w:rsidRPr="006E3E0F" w:rsidTr="0093401C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nagyvirágú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Ludwigia</w:t>
            </w:r>
            <w:proofErr w:type="spellEnd"/>
            <w:r w:rsidRPr="006E3E0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grandiflora</w:t>
            </w:r>
            <w:proofErr w:type="spellEnd"/>
          </w:p>
        </w:tc>
      </w:tr>
      <w:tr w:rsidR="00A817C0" w:rsidRPr="006E3E0F" w:rsidTr="0093401C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sárgavirágú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Ludwigia</w:t>
            </w:r>
            <w:proofErr w:type="spellEnd"/>
            <w:r w:rsidRPr="006E3E0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peploides</w:t>
            </w:r>
            <w:proofErr w:type="spellEnd"/>
          </w:p>
        </w:tc>
      </w:tr>
      <w:tr w:rsidR="00A817C0" w:rsidRPr="006E3E0F" w:rsidTr="0093401C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sárga lápbuzogány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Lysichiton</w:t>
            </w:r>
            <w:proofErr w:type="spellEnd"/>
            <w:r w:rsidRPr="006E3E0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americanus</w:t>
            </w:r>
            <w:proofErr w:type="spellEnd"/>
          </w:p>
        </w:tc>
      </w:tr>
      <w:tr w:rsidR="00A817C0" w:rsidRPr="006E3E0F" w:rsidTr="0093401C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közönséges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Myriophyllum</w:t>
            </w:r>
            <w:proofErr w:type="spellEnd"/>
            <w:r w:rsidRPr="006E3E0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aquaticum</w:t>
            </w:r>
            <w:proofErr w:type="spellEnd"/>
          </w:p>
        </w:tc>
      </w:tr>
      <w:tr w:rsidR="00A817C0" w:rsidRPr="006E3E0F" w:rsidTr="0093401C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keserű hamisüröm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Parthenium</w:t>
            </w:r>
            <w:proofErr w:type="spellEnd"/>
            <w:r w:rsidRPr="006E3E0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hysterophorus</w:t>
            </w:r>
            <w:proofErr w:type="spellEnd"/>
          </w:p>
        </w:tc>
      </w:tr>
      <w:tr w:rsidR="00A817C0" w:rsidRPr="006E3E0F" w:rsidTr="0093401C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ördögfarok keserűfű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Persicaria</w:t>
            </w:r>
            <w:proofErr w:type="spellEnd"/>
            <w:r w:rsidRPr="006E3E0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perfoliata</w:t>
            </w:r>
            <w:proofErr w:type="spellEnd"/>
          </w:p>
        </w:tc>
      </w:tr>
      <w:tr w:rsidR="00A817C0" w:rsidRPr="006E3E0F" w:rsidTr="0093401C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kudzu</w:t>
            </w:r>
            <w:proofErr w:type="spellEnd"/>
            <w:r w:rsidRPr="006E3E0F">
              <w:rPr>
                <w:rFonts w:ascii="Arial" w:hAnsi="Arial" w:cs="Arial"/>
                <w:sz w:val="22"/>
                <w:szCs w:val="22"/>
              </w:rPr>
              <w:t xml:space="preserve"> nyílgyökér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Pueraria</w:t>
            </w:r>
            <w:proofErr w:type="spellEnd"/>
            <w:r w:rsidRPr="006E3E0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montana</w:t>
            </w:r>
            <w:proofErr w:type="spellEnd"/>
            <w:r w:rsidRPr="006E3E0F">
              <w:rPr>
                <w:rFonts w:ascii="Arial" w:hAnsi="Arial" w:cs="Arial"/>
                <w:sz w:val="22"/>
                <w:szCs w:val="22"/>
              </w:rPr>
              <w:t xml:space="preserve"> var. </w:t>
            </w: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lobata</w:t>
            </w:r>
            <w:proofErr w:type="spellEnd"/>
          </w:p>
        </w:tc>
      </w:tr>
      <w:tr w:rsidR="00A817C0" w:rsidRPr="006E3E0F" w:rsidTr="0093401C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közönséges selyemkóró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Asclepias</w:t>
            </w:r>
            <w:proofErr w:type="spellEnd"/>
            <w:r w:rsidRPr="006E3E0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syriaca</w:t>
            </w:r>
            <w:proofErr w:type="spellEnd"/>
          </w:p>
        </w:tc>
      </w:tr>
      <w:tr w:rsidR="00A817C0" w:rsidRPr="006E3E0F" w:rsidTr="0093401C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vékonylevelű</w:t>
            </w:r>
            <w:proofErr w:type="spellEnd"/>
            <w:r w:rsidRPr="006E3E0F">
              <w:rPr>
                <w:rFonts w:ascii="Arial" w:hAnsi="Arial" w:cs="Arial"/>
                <w:sz w:val="22"/>
                <w:szCs w:val="22"/>
              </w:rPr>
              <w:t xml:space="preserve">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Elodea</w:t>
            </w:r>
            <w:proofErr w:type="spellEnd"/>
            <w:r w:rsidRPr="006E3E0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nuttallii</w:t>
            </w:r>
            <w:proofErr w:type="spellEnd"/>
          </w:p>
        </w:tc>
      </w:tr>
      <w:tr w:rsidR="00A817C0" w:rsidRPr="006E3E0F" w:rsidTr="0093401C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bíbor nebáncsvirág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Impatiens</w:t>
            </w:r>
            <w:proofErr w:type="spellEnd"/>
            <w:r w:rsidRPr="006E3E0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glandulifera</w:t>
            </w:r>
            <w:proofErr w:type="spellEnd"/>
          </w:p>
        </w:tc>
      </w:tr>
      <w:tr w:rsidR="00A817C0" w:rsidRPr="006E3E0F" w:rsidTr="0093401C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felemáslevelű</w:t>
            </w:r>
            <w:proofErr w:type="spellEnd"/>
            <w:r w:rsidRPr="006E3E0F">
              <w:rPr>
                <w:rFonts w:ascii="Arial" w:hAnsi="Arial" w:cs="Arial"/>
                <w:sz w:val="22"/>
                <w:szCs w:val="22"/>
              </w:rPr>
              <w:t xml:space="preserve">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Myriophyllum</w:t>
            </w:r>
            <w:proofErr w:type="spellEnd"/>
            <w:r w:rsidRPr="006E3E0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heterophyllum</w:t>
            </w:r>
            <w:proofErr w:type="spellEnd"/>
          </w:p>
        </w:tc>
      </w:tr>
      <w:tr w:rsidR="00A817C0" w:rsidRPr="006E3E0F" w:rsidTr="0093401C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kaukázusi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Heracleum</w:t>
            </w:r>
            <w:proofErr w:type="spellEnd"/>
            <w:r w:rsidRPr="006E3E0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mantegazzianum</w:t>
            </w:r>
            <w:proofErr w:type="spellEnd"/>
          </w:p>
        </w:tc>
      </w:tr>
      <w:tr w:rsidR="00A817C0" w:rsidRPr="006E3E0F" w:rsidTr="0093401C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óriásrebarbara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Gunnera</w:t>
            </w:r>
            <w:proofErr w:type="spellEnd"/>
            <w:r w:rsidRPr="006E3E0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tinctoria</w:t>
            </w:r>
            <w:proofErr w:type="spellEnd"/>
          </w:p>
        </w:tc>
      </w:tr>
      <w:tr w:rsidR="00A817C0" w:rsidRPr="006E3E0F" w:rsidTr="0093401C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tollborzfű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Pennisetum</w:t>
            </w:r>
            <w:proofErr w:type="spellEnd"/>
            <w:r w:rsidRPr="006E3E0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setaceum</w:t>
            </w:r>
            <w:proofErr w:type="spellEnd"/>
          </w:p>
        </w:tc>
      </w:tr>
      <w:tr w:rsidR="00A817C0" w:rsidRPr="006E3E0F" w:rsidTr="0093401C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Alternanthera</w:t>
            </w:r>
            <w:proofErr w:type="spellEnd"/>
            <w:r w:rsidRPr="006E3E0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philoxeroides</w:t>
            </w:r>
            <w:proofErr w:type="spellEnd"/>
          </w:p>
        </w:tc>
      </w:tr>
      <w:tr w:rsidR="00A817C0" w:rsidRPr="006E3E0F" w:rsidTr="0093401C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7C0" w:rsidRPr="006E3E0F" w:rsidRDefault="00A817C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Microstegium</w:t>
            </w:r>
            <w:proofErr w:type="spellEnd"/>
            <w:r w:rsidRPr="006E3E0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vimineum</w:t>
            </w:r>
            <w:proofErr w:type="spellEnd"/>
          </w:p>
        </w:tc>
      </w:tr>
    </w:tbl>
    <w:p w:rsidR="00D43F55" w:rsidRPr="00A817C0" w:rsidRDefault="00D43F55" w:rsidP="00A817C0">
      <w:pPr>
        <w:widowControl/>
        <w:suppressAutoHyphens w:val="0"/>
        <w:spacing w:after="120"/>
        <w:rPr>
          <w:rFonts w:ascii="Arial" w:hAnsi="Arial" w:cs="Arial"/>
          <w:sz w:val="22"/>
          <w:szCs w:val="22"/>
        </w:rPr>
      </w:pPr>
    </w:p>
    <w:sectPr w:rsidR="00D43F55" w:rsidRPr="00A817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FCC" w:rsidRDefault="00487FCC" w:rsidP="00B61B61">
      <w:r>
        <w:separator/>
      </w:r>
    </w:p>
  </w:endnote>
  <w:endnote w:type="continuationSeparator" w:id="0">
    <w:p w:rsidR="00487FCC" w:rsidRDefault="00487FCC" w:rsidP="00B6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B61" w:rsidRDefault="00B61B6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B61" w:rsidRDefault="00B61B6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B61" w:rsidRDefault="00B61B6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FCC" w:rsidRDefault="00487FCC" w:rsidP="00B61B61">
      <w:r>
        <w:separator/>
      </w:r>
    </w:p>
  </w:footnote>
  <w:footnote w:type="continuationSeparator" w:id="0">
    <w:p w:rsidR="00487FCC" w:rsidRDefault="00487FCC" w:rsidP="00B61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B61" w:rsidRDefault="00B61B6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B61" w:rsidRDefault="00B61B61" w:rsidP="00B61B61">
    <w:pPr>
      <w:pStyle w:val="lfej"/>
      <w:jc w:val="right"/>
    </w:pPr>
    <w:r>
      <w:t>Enese Község Önkormányzata képviselő-testületének a településkép védelméről szóló 10/2017.(XII.22.) önkormányzati rendeletéhez</w:t>
    </w:r>
  </w:p>
  <w:p w:rsidR="00B61B61" w:rsidRDefault="00B61B61">
    <w:pPr>
      <w:pStyle w:val="lfej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B61" w:rsidRDefault="00B61B6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C0"/>
    <w:rsid w:val="00194A24"/>
    <w:rsid w:val="00487FCC"/>
    <w:rsid w:val="00A817C0"/>
    <w:rsid w:val="00B61B61"/>
    <w:rsid w:val="00CD45D1"/>
    <w:rsid w:val="00D4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6A79A-ED70-4E8D-82F9-AD0CD83E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817C0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61B6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B61B61"/>
    <w:rPr>
      <w:rFonts w:ascii="Liberation Serif" w:eastAsia="Droid Sans Fallback" w:hAnsi="Liberation Serif" w:cs="Mangal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B61B6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B61B61"/>
    <w:rPr>
      <w:rFonts w:ascii="Liberation Serif" w:eastAsia="Droid Sans Fallback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Csapó-Molnár Violetta</dc:creator>
  <cp:keywords/>
  <dc:description/>
  <cp:lastModifiedBy>Csapó-Molnár Violetta</cp:lastModifiedBy>
  <cp:revision>2</cp:revision>
  <dcterms:created xsi:type="dcterms:W3CDTF">2018-01-02T13:16:00Z</dcterms:created>
  <dcterms:modified xsi:type="dcterms:W3CDTF">2018-01-02T13:16:00Z</dcterms:modified>
</cp:coreProperties>
</file>