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C035B" w14:textId="77777777" w:rsidR="0028185D" w:rsidRPr="00BF7C23" w:rsidRDefault="0028185D" w:rsidP="0028185D">
      <w:pPr>
        <w:spacing w:line="340" w:lineRule="exact"/>
        <w:jc w:val="right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 számú melléklet</w:t>
      </w:r>
    </w:p>
    <w:p w14:paraId="16098EBB" w14:textId="77777777" w:rsidR="0028185D" w:rsidRPr="00BF7C23" w:rsidRDefault="0028185D" w:rsidP="0028185D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</w:p>
    <w:p w14:paraId="07B55927" w14:textId="77777777" w:rsidR="0028185D" w:rsidRPr="00BF7C23" w:rsidRDefault="0028185D" w:rsidP="0028185D">
      <w:pPr>
        <w:jc w:val="center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 xml:space="preserve">PÁLYÁZATI FELHÍVÁS – </w:t>
      </w:r>
      <w:r w:rsidRPr="00BF7C23">
        <w:rPr>
          <w:rFonts w:ascii="Tahoma" w:hAnsi="Tahoma" w:cs="Tahoma"/>
          <w:b/>
          <w:sz w:val="22"/>
          <w:szCs w:val="22"/>
        </w:rPr>
        <w:t>Az</w:t>
      </w:r>
      <w:r w:rsidRPr="00BF7C23">
        <w:rPr>
          <w:rFonts w:ascii="Tahoma" w:hAnsi="Tahoma" w:cs="Tahoma"/>
          <w:sz w:val="22"/>
          <w:szCs w:val="22"/>
        </w:rPr>
        <w:t xml:space="preserve">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új munkahelyek létrehozásának </w:t>
      </w:r>
      <w:r w:rsidRPr="00BF7C23">
        <w:rPr>
          <w:rFonts w:ascii="Tahoma" w:hAnsi="Tahoma" w:cs="Tahoma"/>
          <w:b/>
          <w:sz w:val="22"/>
          <w:szCs w:val="22"/>
        </w:rPr>
        <w:t>ösztönzése</w:t>
      </w:r>
    </w:p>
    <w:p w14:paraId="5329F001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0AE9311B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 Város Önkormányzata Képviselő-testületének a gazdaságélénkítésről szóló Rendelete keret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 xml:space="preserve">ben támogatott </w:t>
      </w:r>
      <w:r w:rsidRPr="00BF7C23">
        <w:rPr>
          <w:rFonts w:ascii="Tahoma" w:hAnsi="Tahoma" w:cs="Tahoma"/>
          <w:b/>
          <w:bCs/>
          <w:sz w:val="22"/>
          <w:szCs w:val="22"/>
        </w:rPr>
        <w:t>„</w:t>
      </w:r>
      <w:r w:rsidRPr="00BF7C23">
        <w:rPr>
          <w:rFonts w:ascii="Tahoma" w:hAnsi="Tahoma" w:cs="Tahoma"/>
          <w:b/>
          <w:sz w:val="22"/>
          <w:szCs w:val="22"/>
        </w:rPr>
        <w:t>Az</w:t>
      </w:r>
      <w:r w:rsidRPr="00BF7C23">
        <w:rPr>
          <w:rFonts w:ascii="Tahoma" w:hAnsi="Tahoma" w:cs="Tahoma"/>
          <w:sz w:val="22"/>
          <w:szCs w:val="22"/>
        </w:rPr>
        <w:t xml:space="preserve">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új munkahelyek létrehozásának </w:t>
      </w:r>
      <w:r w:rsidRPr="00BF7C23">
        <w:rPr>
          <w:rFonts w:ascii="Tahoma" w:hAnsi="Tahoma" w:cs="Tahoma"/>
          <w:b/>
          <w:sz w:val="22"/>
          <w:szCs w:val="22"/>
        </w:rPr>
        <w:t>ösztönzése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” </w:t>
      </w:r>
      <w:r w:rsidRPr="00BF7C23">
        <w:rPr>
          <w:rFonts w:ascii="Tahoma" w:hAnsi="Tahoma" w:cs="Tahoma"/>
          <w:sz w:val="22"/>
          <w:szCs w:val="22"/>
        </w:rPr>
        <w:t>című pályázati felhív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sa.</w:t>
      </w:r>
    </w:p>
    <w:p w14:paraId="2F0D8B03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59AC064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pályázat célja, </w:t>
      </w:r>
      <w:r w:rsidRPr="00BF7C23">
        <w:rPr>
          <w:rFonts w:ascii="Tahoma" w:hAnsi="Tahoma" w:cs="Tahoma"/>
          <w:sz w:val="22"/>
          <w:szCs w:val="22"/>
        </w:rPr>
        <w:t xml:space="preserve">hogy egyszeri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visszatérítendő kamatmentes </w:t>
      </w:r>
      <w:r w:rsidRPr="00BF7C23">
        <w:rPr>
          <w:rFonts w:ascii="Tahoma" w:hAnsi="Tahoma" w:cs="Tahoma"/>
          <w:sz w:val="22"/>
          <w:szCs w:val="22"/>
        </w:rPr>
        <w:t xml:space="preserve">pénzügyi támogatással segítséget nyújtson a Szentes Város közigazgatási területén működő vállalkozók, vállalkozások számára </w:t>
      </w:r>
      <w:r w:rsidRPr="00BF7C23">
        <w:rPr>
          <w:rFonts w:ascii="Tahoma" w:hAnsi="Tahoma" w:cs="Tahoma"/>
          <w:b/>
          <w:sz w:val="22"/>
          <w:szCs w:val="22"/>
        </w:rPr>
        <w:t>új munkahelyek létrehozására</w:t>
      </w:r>
      <w:r w:rsidRPr="00BF7C23">
        <w:rPr>
          <w:rFonts w:ascii="Tahoma" w:hAnsi="Tahoma" w:cs="Tahoma"/>
          <w:sz w:val="22"/>
          <w:szCs w:val="22"/>
        </w:rPr>
        <w:t xml:space="preserve">. </w:t>
      </w:r>
    </w:p>
    <w:p w14:paraId="0CD38F0D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B23AD95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I., A pályázat tárgykörei:</w:t>
      </w:r>
      <w:r w:rsidRPr="00BF7C23">
        <w:rPr>
          <w:rFonts w:ascii="Tahoma" w:hAnsi="Tahoma" w:cs="Tahoma"/>
          <w:b/>
          <w:sz w:val="22"/>
          <w:szCs w:val="22"/>
        </w:rPr>
        <w:t xml:space="preserve"> </w:t>
      </w:r>
    </w:p>
    <w:p w14:paraId="12C6E807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73BFFF2D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1) </w:t>
      </w:r>
      <w:r w:rsidRPr="00BF7C23">
        <w:rPr>
          <w:rFonts w:ascii="Tahoma" w:hAnsi="Tahoma" w:cs="Tahoma"/>
          <w:b/>
          <w:sz w:val="22"/>
          <w:szCs w:val="22"/>
        </w:rPr>
        <w:t>1 millió Ft- 3 millió</w:t>
      </w:r>
      <w:r w:rsidRPr="00BF7C23">
        <w:rPr>
          <w:rFonts w:ascii="Tahoma" w:hAnsi="Tahoma" w:cs="Tahoma"/>
          <w:sz w:val="22"/>
          <w:szCs w:val="22"/>
        </w:rPr>
        <w:t xml:space="preserve"> Ft kamatmentes kölcsön </w:t>
      </w:r>
    </w:p>
    <w:p w14:paraId="27AD48C0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3DCCBAB4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Feltétel </w:t>
      </w:r>
      <w:r w:rsidRPr="00BF7C23">
        <w:rPr>
          <w:rFonts w:ascii="Tahoma" w:hAnsi="Tahoma" w:cs="Tahoma"/>
          <w:sz w:val="22"/>
          <w:szCs w:val="22"/>
          <w:u w:val="single"/>
        </w:rPr>
        <w:t>1 millió forintonként minimum 1 fő</w:t>
      </w:r>
      <w:r w:rsidRPr="00BF7C23">
        <w:rPr>
          <w:rFonts w:ascii="Tahoma" w:hAnsi="Tahoma" w:cs="Tahoma"/>
          <w:sz w:val="22"/>
          <w:szCs w:val="22"/>
        </w:rPr>
        <w:t xml:space="preserve"> teljes idős (napi 8 órás) </w:t>
      </w:r>
      <w:proofErr w:type="spellStart"/>
      <w:r w:rsidRPr="00BF7C23">
        <w:rPr>
          <w:rFonts w:ascii="Tahoma" w:hAnsi="Tahoma" w:cs="Tahoma"/>
          <w:sz w:val="22"/>
          <w:szCs w:val="22"/>
        </w:rPr>
        <w:t>foglalkoztatású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új munkahely lé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>rehozása vagy minimum 2 fő részmunkaidős (napi 4 órás) új munkahely létrehozása a vállalkozáson belül.</w:t>
      </w:r>
    </w:p>
    <w:p w14:paraId="722353C5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051983D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2) </w:t>
      </w:r>
      <w:r w:rsidRPr="00BF7C23">
        <w:rPr>
          <w:rFonts w:ascii="Tahoma" w:hAnsi="Tahoma" w:cs="Tahoma"/>
          <w:b/>
          <w:sz w:val="22"/>
          <w:szCs w:val="22"/>
        </w:rPr>
        <w:t>3 millió Ft felett – 6 millió Ft</w:t>
      </w:r>
      <w:r w:rsidRPr="00BF7C23">
        <w:rPr>
          <w:rFonts w:ascii="Tahoma" w:hAnsi="Tahoma" w:cs="Tahoma"/>
          <w:sz w:val="22"/>
          <w:szCs w:val="22"/>
        </w:rPr>
        <w:t xml:space="preserve"> kamatmentes kölcsön </w:t>
      </w:r>
    </w:p>
    <w:p w14:paraId="654A36BF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6B232E60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Feltétel</w:t>
      </w:r>
      <w:r w:rsidRPr="00BF7C23">
        <w:rPr>
          <w:rFonts w:ascii="Tahoma" w:hAnsi="Tahoma" w:cs="Tahoma"/>
          <w:sz w:val="22"/>
          <w:szCs w:val="22"/>
          <w:u w:val="single"/>
        </w:rPr>
        <w:t xml:space="preserve"> 1 millió forintonként minimum 2 fő</w:t>
      </w:r>
      <w:r w:rsidRPr="00BF7C23">
        <w:rPr>
          <w:rFonts w:ascii="Tahoma" w:hAnsi="Tahoma" w:cs="Tahoma"/>
          <w:sz w:val="22"/>
          <w:szCs w:val="22"/>
        </w:rPr>
        <w:t xml:space="preserve"> teljes idős </w:t>
      </w:r>
      <w:proofErr w:type="spellStart"/>
      <w:r w:rsidRPr="00BF7C23">
        <w:rPr>
          <w:rFonts w:ascii="Tahoma" w:hAnsi="Tahoma" w:cs="Tahoma"/>
          <w:sz w:val="22"/>
          <w:szCs w:val="22"/>
        </w:rPr>
        <w:t>foglalkoztatású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új munkahely létrehozása vagy minimum 3 fő részmunkaidős új munkahely létrehozása a pályázó vállalkozásán belül vagy több vá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lalk</w:t>
      </w:r>
      <w:r w:rsidRPr="00BF7C23">
        <w:rPr>
          <w:rFonts w:ascii="Tahoma" w:hAnsi="Tahoma" w:cs="Tahoma"/>
          <w:sz w:val="22"/>
          <w:szCs w:val="22"/>
        </w:rPr>
        <w:t>o</w:t>
      </w:r>
      <w:r w:rsidRPr="00BF7C23">
        <w:rPr>
          <w:rFonts w:ascii="Tahoma" w:hAnsi="Tahoma" w:cs="Tahoma"/>
          <w:sz w:val="22"/>
          <w:szCs w:val="22"/>
        </w:rPr>
        <w:t xml:space="preserve">zása esetén összességében. </w:t>
      </w:r>
    </w:p>
    <w:p w14:paraId="3FB715C8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DCB6BB3" w14:textId="77777777" w:rsidR="0028185D" w:rsidRPr="00BF7C23" w:rsidRDefault="0028185D" w:rsidP="0028185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FEFAE43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II., A pénzügyi támogatás módja:</w:t>
      </w:r>
      <w:r w:rsidRPr="00BF7C23">
        <w:rPr>
          <w:rFonts w:ascii="Tahoma" w:hAnsi="Tahoma" w:cs="Tahoma"/>
          <w:sz w:val="22"/>
          <w:szCs w:val="22"/>
        </w:rPr>
        <w:t xml:space="preserve"> </w:t>
      </w:r>
    </w:p>
    <w:p w14:paraId="18FCFA1D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3C13DFBC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pályázó az új munkavállaló állományba vételét követően negyedévente jogosult benyújtani a kö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csön biztosításához szükséges pén</w:t>
      </w:r>
      <w:r w:rsidRPr="00BF7C23">
        <w:rPr>
          <w:rFonts w:ascii="Tahoma" w:hAnsi="Tahoma" w:cs="Tahoma"/>
          <w:sz w:val="22"/>
          <w:szCs w:val="22"/>
        </w:rPr>
        <w:t>z</w:t>
      </w:r>
      <w:r w:rsidRPr="00BF7C23">
        <w:rPr>
          <w:rFonts w:ascii="Tahoma" w:hAnsi="Tahoma" w:cs="Tahoma"/>
          <w:sz w:val="22"/>
          <w:szCs w:val="22"/>
        </w:rPr>
        <w:t xml:space="preserve">ügyi elszámolást. </w:t>
      </w:r>
    </w:p>
    <w:p w14:paraId="617B07C9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47E697B7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Az elszámolásnak tartalmaznia kell az alkalmazási okiratot (munkaszerződés), amelyből eg</w:t>
      </w:r>
      <w:r w:rsidRPr="00BF7C23">
        <w:rPr>
          <w:rFonts w:ascii="Tahoma" w:hAnsi="Tahoma" w:cs="Tahoma"/>
          <w:sz w:val="22"/>
          <w:szCs w:val="22"/>
        </w:rPr>
        <w:t>y</w:t>
      </w:r>
      <w:r w:rsidRPr="00BF7C23">
        <w:rPr>
          <w:rFonts w:ascii="Tahoma" w:hAnsi="Tahoma" w:cs="Tahoma"/>
          <w:sz w:val="22"/>
          <w:szCs w:val="22"/>
        </w:rPr>
        <w:t>értelműen azonosíthatónak kell lennie az új munkavállaló személyes adatainak, a fizetésének és a munkasze</w:t>
      </w:r>
      <w:r w:rsidRPr="00BF7C23">
        <w:rPr>
          <w:rFonts w:ascii="Tahoma" w:hAnsi="Tahoma" w:cs="Tahoma"/>
          <w:sz w:val="22"/>
          <w:szCs w:val="22"/>
        </w:rPr>
        <w:t>r</w:t>
      </w:r>
      <w:r w:rsidRPr="00BF7C23">
        <w:rPr>
          <w:rFonts w:ascii="Tahoma" w:hAnsi="Tahoma" w:cs="Tahoma"/>
          <w:sz w:val="22"/>
          <w:szCs w:val="22"/>
        </w:rPr>
        <w:t>ződés időtartamára vonatkozó dátumnak.</w:t>
      </w:r>
    </w:p>
    <w:p w14:paraId="74571E52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4D331DA2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fentieken túl csatolni kell a fizetési jegyzék támogatott munkavállalóra vonatkozó részét, illetve á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>utalás estén az átutalt munkabér igazolását. Nagyon fontos a járulékok befizetésének bizonyítása. Ennek formájaként a pályázónak kérvényeznie kell a vállalkozás köztartozás mentességi nyilvánta</w:t>
      </w:r>
      <w:r w:rsidRPr="00BF7C23">
        <w:rPr>
          <w:rFonts w:ascii="Tahoma" w:hAnsi="Tahoma" w:cs="Tahoma"/>
          <w:sz w:val="22"/>
          <w:szCs w:val="22"/>
        </w:rPr>
        <w:t>r</w:t>
      </w:r>
      <w:r w:rsidRPr="00BF7C23">
        <w:rPr>
          <w:rFonts w:ascii="Tahoma" w:hAnsi="Tahoma" w:cs="Tahoma"/>
          <w:sz w:val="22"/>
          <w:szCs w:val="22"/>
        </w:rPr>
        <w:t>tásba történő felvételét, illetve az elfogadott felvételről szóló igazolás be kell nyújtania az elszám</w:t>
      </w:r>
      <w:r w:rsidRPr="00BF7C23">
        <w:rPr>
          <w:rFonts w:ascii="Tahoma" w:hAnsi="Tahoma" w:cs="Tahoma"/>
          <w:sz w:val="22"/>
          <w:szCs w:val="22"/>
        </w:rPr>
        <w:t>o</w:t>
      </w:r>
      <w:r w:rsidRPr="00BF7C23">
        <w:rPr>
          <w:rFonts w:ascii="Tahoma" w:hAnsi="Tahoma" w:cs="Tahoma"/>
          <w:sz w:val="22"/>
          <w:szCs w:val="22"/>
        </w:rPr>
        <w:t>láshoz. Kizárólag azon vállalkozás vagy vállalkozó, illetve őste</w:t>
      </w:r>
      <w:r w:rsidRPr="00BF7C23">
        <w:rPr>
          <w:rFonts w:ascii="Tahoma" w:hAnsi="Tahoma" w:cs="Tahoma"/>
          <w:sz w:val="22"/>
          <w:szCs w:val="22"/>
        </w:rPr>
        <w:t>r</w:t>
      </w:r>
      <w:r w:rsidRPr="00BF7C23">
        <w:rPr>
          <w:rFonts w:ascii="Tahoma" w:hAnsi="Tahoma" w:cs="Tahoma"/>
          <w:sz w:val="22"/>
          <w:szCs w:val="22"/>
        </w:rPr>
        <w:t>melő pályázata támogatható, amely vállalkozás, vállalkozónak, illetve kapcsolatvállalkoz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soknak, őstermelőknek nincs köztartozása.</w:t>
      </w:r>
    </w:p>
    <w:p w14:paraId="3D04B4C8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789829D4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pénzügyi elszámolás sikeressége és a támogatott kölcsön folyósítása csak a feltételek együttes te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 xml:space="preserve">jesítésével lehetséges. </w:t>
      </w:r>
    </w:p>
    <w:p w14:paraId="0089ADAB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3CD83224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Az új munkahelyek létrehozásának ösztönzése az alábbiak szerint kerül végrehajtásra. A sikeres p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lyázatot és a kölcsönösen aláírt szerződést követően, a pályázó minden negyedévet követően jog</w:t>
      </w:r>
      <w:r w:rsidRPr="00BF7C23">
        <w:rPr>
          <w:rFonts w:ascii="Tahoma" w:hAnsi="Tahoma" w:cs="Tahoma"/>
          <w:sz w:val="22"/>
          <w:szCs w:val="22"/>
        </w:rPr>
        <w:t>o</w:t>
      </w:r>
      <w:r w:rsidRPr="00BF7C23">
        <w:rPr>
          <w:rFonts w:ascii="Tahoma" w:hAnsi="Tahoma" w:cs="Tahoma"/>
          <w:sz w:val="22"/>
          <w:szCs w:val="22"/>
        </w:rPr>
        <w:t>sult benyújtani a kölcsön biztosításához szükséges pénzügyi elszámolást. A gyakorlati megvalósulás során a pályázónak (munkaadó) az első negyedévben ki kell fizetni (vagy átutalni) az új munkahely után járó bért és járulékokat. A negyedéves pénzügyi elszámolást követően az Önkormányzat (k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matmentes kölcsön formájában) átutalja a pályázónak a negyedév során kifizetett bruttó bér + jár</w:t>
      </w:r>
      <w:r w:rsidRPr="00BF7C23">
        <w:rPr>
          <w:rFonts w:ascii="Tahoma" w:hAnsi="Tahoma" w:cs="Tahoma"/>
          <w:sz w:val="22"/>
          <w:szCs w:val="22"/>
        </w:rPr>
        <w:t>u</w:t>
      </w:r>
      <w:r w:rsidRPr="00BF7C23">
        <w:rPr>
          <w:rFonts w:ascii="Tahoma" w:hAnsi="Tahoma" w:cs="Tahoma"/>
          <w:sz w:val="22"/>
          <w:szCs w:val="22"/>
        </w:rPr>
        <w:t>lékok összegének az 50%-át. Ezzel teljesül az a kritérium, hogy a pályázónak legalább 50% saját erő és 50% kamatmentes kölcsönből kell megvalósítani a projektet. A bér(</w:t>
      </w:r>
      <w:proofErr w:type="spellStart"/>
      <w:r w:rsidRPr="00BF7C23">
        <w:rPr>
          <w:rFonts w:ascii="Tahoma" w:hAnsi="Tahoma" w:cs="Tahoma"/>
          <w:sz w:val="22"/>
          <w:szCs w:val="22"/>
        </w:rPr>
        <w:t>ek</w:t>
      </w:r>
      <w:proofErr w:type="spellEnd"/>
      <w:r w:rsidRPr="00BF7C23">
        <w:rPr>
          <w:rFonts w:ascii="Tahoma" w:hAnsi="Tahoma" w:cs="Tahoma"/>
          <w:sz w:val="22"/>
          <w:szCs w:val="22"/>
        </w:rPr>
        <w:t>) + járulékok munkaváll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 xml:space="preserve">ló(k) utáni fizetése, negyedévenkénti pénzügyi elszámolása és az Önkormányzat részéről </w:t>
      </w:r>
      <w:r w:rsidRPr="00BF7C23">
        <w:rPr>
          <w:rFonts w:ascii="Tahoma" w:hAnsi="Tahoma" w:cs="Tahoma"/>
          <w:sz w:val="22"/>
          <w:szCs w:val="22"/>
        </w:rPr>
        <w:lastRenderedPageBreak/>
        <w:t>adandó 50%-kos mértékű kölcsön biztosítása egészen addig történik, amíg a pályázatban leírt, szerződéssel rögzített összeg átutalásra nem kerül. A teljes kamatmentes kölcsön átutalását követő hónap első napjától kezdődik a pályázó visszafizetési kötelezettsége. A kölcsön lejáratának vége az első Önko</w:t>
      </w:r>
      <w:r w:rsidRPr="00BF7C23">
        <w:rPr>
          <w:rFonts w:ascii="Tahoma" w:hAnsi="Tahoma" w:cs="Tahoma"/>
          <w:sz w:val="22"/>
          <w:szCs w:val="22"/>
        </w:rPr>
        <w:t>r</w:t>
      </w:r>
      <w:r w:rsidRPr="00BF7C23">
        <w:rPr>
          <w:rFonts w:ascii="Tahoma" w:hAnsi="Tahoma" w:cs="Tahoma"/>
          <w:sz w:val="22"/>
          <w:szCs w:val="22"/>
        </w:rPr>
        <w:t>mányzati kölcsönfolyósítás napjától számított maximum 36 hónap. Ezen időszakon belül kell visszaf</w:t>
      </w:r>
      <w:r w:rsidRPr="00BF7C23">
        <w:rPr>
          <w:rFonts w:ascii="Tahoma" w:hAnsi="Tahoma" w:cs="Tahoma"/>
          <w:sz w:val="22"/>
          <w:szCs w:val="22"/>
        </w:rPr>
        <w:t>i</w:t>
      </w:r>
      <w:r w:rsidRPr="00BF7C23">
        <w:rPr>
          <w:rFonts w:ascii="Tahoma" w:hAnsi="Tahoma" w:cs="Tahoma"/>
          <w:sz w:val="22"/>
          <w:szCs w:val="22"/>
        </w:rPr>
        <w:t xml:space="preserve">zetni a kölcsönt és ezen időszakban kell fenntartani a létrehozott munkahelyet. </w:t>
      </w:r>
    </w:p>
    <w:p w14:paraId="4D0871AF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57FE2D60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Amennyiben a támogatott jogszabályi és szerződéses kötelezettségeinek nem tesz eleget, különös tekintettel a fenntartási idő be nem tartására, úgy kamattal növelt visszatérítési kötelezettség terheli, melynek mértéke a jegybanki alapkamat kétszerese. A visszatérítési kötelezettség teljesítésének h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tárideje a kötelezettség fennállásának Önkormán</w:t>
      </w:r>
      <w:r w:rsidRPr="00BF7C23">
        <w:rPr>
          <w:rFonts w:ascii="Tahoma" w:hAnsi="Tahoma" w:cs="Tahoma"/>
          <w:sz w:val="22"/>
          <w:szCs w:val="22"/>
        </w:rPr>
        <w:t>y</w:t>
      </w:r>
      <w:r w:rsidRPr="00BF7C23">
        <w:rPr>
          <w:rFonts w:ascii="Tahoma" w:hAnsi="Tahoma" w:cs="Tahoma"/>
          <w:sz w:val="22"/>
          <w:szCs w:val="22"/>
        </w:rPr>
        <w:t>zat általi megállapítását követő 30 nap.</w:t>
      </w:r>
    </w:p>
    <w:p w14:paraId="4D1F9DCE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0F5D12F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III., A pályázati alap forrásai:</w:t>
      </w:r>
    </w:p>
    <w:p w14:paraId="0166E0C1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pályázati alapot az alábbi források képezik:</w:t>
      </w:r>
    </w:p>
    <w:p w14:paraId="62C8F612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1.) Szentes Város Önkormányzata Képviselő-testülete által a tárgyévi költségvetésben erre elkülön</w:t>
      </w:r>
      <w:r w:rsidRPr="00BF7C23">
        <w:rPr>
          <w:rFonts w:ascii="Tahoma" w:hAnsi="Tahoma" w:cs="Tahoma"/>
          <w:sz w:val="22"/>
          <w:szCs w:val="22"/>
        </w:rPr>
        <w:t>í</w:t>
      </w:r>
      <w:r w:rsidRPr="00BF7C23">
        <w:rPr>
          <w:rFonts w:ascii="Tahoma" w:hAnsi="Tahoma" w:cs="Tahoma"/>
          <w:sz w:val="22"/>
          <w:szCs w:val="22"/>
        </w:rPr>
        <w:t>tett összeg,</w:t>
      </w:r>
    </w:p>
    <w:p w14:paraId="529505F4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2.) Az alap tárgyévet megelőző évben fel nem használt összege.</w:t>
      </w:r>
    </w:p>
    <w:p w14:paraId="3A1238C8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3.) Az alap pénzeszközeiből származó kamat és egyéb tőkejövedelem.</w:t>
      </w:r>
    </w:p>
    <w:p w14:paraId="68193402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4.) Az alap javára teljesített visszafizetések és ezek járulékai.</w:t>
      </w:r>
    </w:p>
    <w:p w14:paraId="29ED2B63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5.) A pályázati díj összege, amely évente a pályázat kiírásakor kerül meghatározásra.</w:t>
      </w:r>
    </w:p>
    <w:p w14:paraId="0AA635B5" w14:textId="77777777" w:rsidR="0028185D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56711D5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7E23F13E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IV., A pályázati támogatás biztosítéki formái:</w:t>
      </w:r>
    </w:p>
    <w:p w14:paraId="43EAC1B2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a) óvadék (pénzbetét, állam által kibocsátott értékpapír)</w:t>
      </w:r>
    </w:p>
    <w:p w14:paraId="2015B257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b) termőföld ingatlan</w:t>
      </w:r>
    </w:p>
    <w:p w14:paraId="7B6783ED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c) épített ingatlan</w:t>
      </w:r>
    </w:p>
    <w:p w14:paraId="4D3D1083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d) vagyontárgy (ingóság)</w:t>
      </w:r>
    </w:p>
    <w:p w14:paraId="3AAF3D58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FD124F2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biztosíték meglétét, tulajdonlását igazoló okmányokat a pályázathoz csatolni kell. Ennek elmarad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 xml:space="preserve">sa esetén a pályázat érdemi elbírálás nélkül elutasításra kerül. Amennyiben a pályázó ingatlanon kívül eső dolgot ajánl fel biztosítékul, úgy a zálogszerződés közjegyzői okiratba </w:t>
      </w:r>
      <w:proofErr w:type="gramStart"/>
      <w:r w:rsidRPr="00BF7C23">
        <w:rPr>
          <w:rFonts w:ascii="Tahoma" w:hAnsi="Tahoma" w:cs="Tahoma"/>
          <w:sz w:val="22"/>
          <w:szCs w:val="22"/>
        </w:rPr>
        <w:t>foglalásának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valamint a nyilvántartásba vételének költségeit a pályázónak viselnie kell. A támogatás elnyerése esetén a t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mogatott köteles a fedezetül felajánlott ingatlanra, vagy vagyontárgyra vonatkozóan általános v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gyonbiztosítást kötni, valamint a támogatás erejéig és idejéig a biztosítás összegét Szentes Város Önkormányzata javára engedményeztetni.</w:t>
      </w:r>
    </w:p>
    <w:p w14:paraId="458338CC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626BEB4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V., A pályázat benyújtására jogosult:</w:t>
      </w:r>
    </w:p>
    <w:p w14:paraId="276EDC01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Pályázat benyújtására jogosult minden olyan vállalkozás (egyéni ill. társas vállalkozás), aki/amely</w:t>
      </w:r>
    </w:p>
    <w:p w14:paraId="62FAD952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Szentes város közigazgatási területén bejegyzett székhellyel és/vagy telephellyel rendelkezik,</w:t>
      </w:r>
    </w:p>
    <w:p w14:paraId="4C6FF927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BF7C23">
          <w:rPr>
            <w:rFonts w:ascii="Tahoma" w:hAnsi="Tahoma" w:cs="Tahoma"/>
            <w:sz w:val="22"/>
            <w:szCs w:val="22"/>
          </w:rPr>
          <w:t>2. a</w:t>
        </w:r>
      </w:smartTag>
      <w:r w:rsidRPr="00BF7C23">
        <w:rPr>
          <w:rFonts w:ascii="Tahoma" w:hAnsi="Tahoma" w:cs="Tahoma"/>
          <w:sz w:val="22"/>
          <w:szCs w:val="22"/>
        </w:rPr>
        <w:t xml:space="preserve"> pályázat benyújtásakor nem áll csőd-, felszámolási vagy végelszámolási eljárás alatt,</w:t>
      </w:r>
    </w:p>
    <w:p w14:paraId="7EB62940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BF7C23">
          <w:rPr>
            <w:rFonts w:ascii="Tahoma" w:hAnsi="Tahoma" w:cs="Tahoma"/>
            <w:sz w:val="22"/>
            <w:szCs w:val="22"/>
          </w:rPr>
          <w:t>3. a</w:t>
        </w:r>
      </w:smartTag>
      <w:r w:rsidRPr="00BF7C23">
        <w:rPr>
          <w:rFonts w:ascii="Tahoma" w:hAnsi="Tahoma" w:cs="Tahoma"/>
          <w:sz w:val="22"/>
          <w:szCs w:val="22"/>
        </w:rPr>
        <w:t xml:space="preserve"> pályázat beadásakor lejárt köztartozása nincs,</w:t>
      </w:r>
    </w:p>
    <w:p w14:paraId="2D598585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4. nem pályázhat 5 évig az a </w:t>
      </w:r>
      <w:proofErr w:type="gramStart"/>
      <w:r w:rsidRPr="00BF7C23">
        <w:rPr>
          <w:rFonts w:ascii="Tahoma" w:hAnsi="Tahoma" w:cs="Tahoma"/>
          <w:sz w:val="22"/>
          <w:szCs w:val="22"/>
        </w:rPr>
        <w:t>vállalkozás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aki/amely a már folyósított támogatásból eredő visszafizetési kötelezettségének nem tett eleget, a támogatási célt nem valósította meg, vagy megtévesztően ny</w:t>
      </w:r>
      <w:r w:rsidRPr="00BF7C23">
        <w:rPr>
          <w:rFonts w:ascii="Tahoma" w:hAnsi="Tahoma" w:cs="Tahoma"/>
          <w:sz w:val="22"/>
          <w:szCs w:val="22"/>
        </w:rPr>
        <w:t>i</w:t>
      </w:r>
      <w:r w:rsidRPr="00BF7C23">
        <w:rPr>
          <w:rFonts w:ascii="Tahoma" w:hAnsi="Tahoma" w:cs="Tahoma"/>
          <w:sz w:val="22"/>
          <w:szCs w:val="22"/>
        </w:rPr>
        <w:t>latkozott.</w:t>
      </w:r>
    </w:p>
    <w:p w14:paraId="5E64102A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5. Kapcsolt vállalkozások közül csak egy pályázó részesülhet támogatásban.</w:t>
      </w:r>
    </w:p>
    <w:p w14:paraId="3FCCF4B9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Fent megnevezett feltételeknek együttesen kell fennállniuk, bármelyik hiánya a pályázat érdemi viz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>gálat nélküli kizárását eredményezi a pályázati körből.</w:t>
      </w:r>
    </w:p>
    <w:p w14:paraId="34D53267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71FB610C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VI., A pályázat benyújtásának tartalmi és formai követelményei:</w:t>
      </w:r>
    </w:p>
    <w:p w14:paraId="53C6FC13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pályázaton való részvétel részletes feltételeit, a pályázat benyújtásának tartalmi és formai követe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 xml:space="preserve">ményeit, a pályázat elbírálásának szempontjait a Pályázati Útmutató (csomag) tartalmazza. </w:t>
      </w:r>
    </w:p>
    <w:p w14:paraId="13C14257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781ACA7C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Pályázatot benyújtani cégszerűen aláírt papír alapú formában lehet,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3 példányban </w:t>
      </w:r>
      <w:r w:rsidRPr="00BF7C23">
        <w:rPr>
          <w:rFonts w:ascii="Tahoma" w:hAnsi="Tahoma" w:cs="Tahoma"/>
          <w:sz w:val="22"/>
          <w:szCs w:val="22"/>
        </w:rPr>
        <w:t>(1 er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deti és 2 másolat) a Szentesi Közös Önkormányzati Hivataltól átvett, letöltött vagy elektronikus po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 xml:space="preserve">tán (e-mail) kapott Pályázati Útmutató csomag alapján. Nem kötelező, de a pályázat gyorsabb elbírálása érdekében </w:t>
      </w:r>
      <w:r w:rsidRPr="00BF7C23">
        <w:rPr>
          <w:rFonts w:ascii="Tahoma" w:hAnsi="Tahoma" w:cs="Tahoma"/>
          <w:sz w:val="22"/>
          <w:szCs w:val="22"/>
        </w:rPr>
        <w:lastRenderedPageBreak/>
        <w:t xml:space="preserve">ajánlott a komplett pályázat elektronikus postán (e-mailben) történő benyújtása a </w:t>
      </w:r>
      <w:hyperlink r:id="rId4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bocskay@szentes.hu</w:t>
        </w:r>
      </w:hyperlink>
      <w:r w:rsidRPr="00BF7C23">
        <w:rPr>
          <w:rFonts w:ascii="Tahoma" w:hAnsi="Tahoma" w:cs="Tahoma"/>
          <w:sz w:val="22"/>
          <w:szCs w:val="22"/>
        </w:rPr>
        <w:t xml:space="preserve"> címre. </w:t>
      </w:r>
    </w:p>
    <w:p w14:paraId="36D6F0CE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6EE0EF1E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6423B66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pályázati csomag beszerezhető: Szentesi Közös Önkormányzati Hivatal Ipari Park referensénél (6600 Szentes, Kossuth tér 6.), i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 xml:space="preserve">letve letölthető a </w:t>
      </w:r>
      <w:hyperlink r:id="rId5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www.szentesinvest.hu</w:t>
        </w:r>
      </w:hyperlink>
      <w:r w:rsidRPr="00BF7C23">
        <w:rPr>
          <w:rFonts w:ascii="Tahoma" w:hAnsi="Tahoma" w:cs="Tahoma"/>
          <w:sz w:val="22"/>
          <w:szCs w:val="22"/>
        </w:rPr>
        <w:t xml:space="preserve"> honlapról. </w:t>
      </w:r>
    </w:p>
    <w:p w14:paraId="75ED884D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3492E06B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VII., Általános feltételek:</w:t>
      </w:r>
    </w:p>
    <w:p w14:paraId="01B838D3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Alaponként - egy fordulóban - egy pályázó csak egy pályázatot nyújthat be.</w:t>
      </w:r>
    </w:p>
    <w:p w14:paraId="1368A2DD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 Egy pályázó az adott évben csak egy alapból nyerhet el támogatást.</w:t>
      </w:r>
    </w:p>
    <w:p w14:paraId="303CB235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 Azok a pályázók, akik 5 éven belül már kétszer részesültek támogatásban, abban az esetben r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szesülhetnek újból, amennyiben a pályázat benyújtásakor maximum 1 folyamatban lévő, vissza nem fizetett támogatásuk van, illetve forráshiány miatt egyéb pályázat nem kerül elutasításra.</w:t>
      </w:r>
    </w:p>
    <w:p w14:paraId="238D7565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 Előnyt élveznek azok a pályázók, akik még nem részesültek támogatásban.</w:t>
      </w:r>
    </w:p>
    <w:p w14:paraId="04DD6AE1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BF7C23">
        <w:rPr>
          <w:rFonts w:ascii="Tahoma" w:hAnsi="Tahoma" w:cs="Tahoma"/>
          <w:sz w:val="22"/>
          <w:szCs w:val="22"/>
        </w:rPr>
        <w:t>Pályázónként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a kint lévő aktuális támogatás összege együttesen nem haladhatja meg a 8 millió Ft-ot.</w:t>
      </w:r>
    </w:p>
    <w:p w14:paraId="3D59DC48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VIII., A pályázat beérkezésének és elbírálásának határideje:</w:t>
      </w:r>
    </w:p>
    <w:p w14:paraId="3B6485E1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pályázat beérkezésének határideje: </w:t>
      </w:r>
      <w:r w:rsidRPr="00BF7C23">
        <w:rPr>
          <w:rFonts w:ascii="Tahoma" w:hAnsi="Tahoma" w:cs="Tahoma"/>
          <w:i/>
          <w:sz w:val="22"/>
          <w:szCs w:val="22"/>
        </w:rPr>
        <w:t>a mindenkor érvényes kiírás szerint</w:t>
      </w:r>
    </w:p>
    <w:p w14:paraId="1A70ECC5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beadásának helye/postai címe:</w:t>
      </w:r>
    </w:p>
    <w:p w14:paraId="793807D9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Szentesi Közös Önkormányzati Hivatal, 6600 Szentes, Kossuth tér 6. (212. sz. iroda)</w:t>
      </w:r>
    </w:p>
    <w:p w14:paraId="7591F834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benyújtására nyitva álló határidő elmulasztása esetén igazolási kérelemnek nincs helye.</w:t>
      </w:r>
    </w:p>
    <w:p w14:paraId="7BEBE423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keretében egyszeri hiánypótlásra van lehetőség, a hiánypótlásra felszólító levél átvételét</w:t>
      </w:r>
    </w:p>
    <w:p w14:paraId="239C1FA8" w14:textId="77777777" w:rsidR="0028185D" w:rsidRPr="00BF7C23" w:rsidRDefault="0028185D" w:rsidP="0028185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követő 10 naptári napon belül. Ennek elmaradása a pályázatból való kizárást eredményezi. A hián</w:t>
      </w:r>
      <w:r w:rsidRPr="00BF7C23">
        <w:rPr>
          <w:rFonts w:ascii="Tahoma" w:hAnsi="Tahoma" w:cs="Tahoma"/>
          <w:sz w:val="22"/>
          <w:szCs w:val="22"/>
        </w:rPr>
        <w:t>y</w:t>
      </w:r>
      <w:r w:rsidRPr="00BF7C23">
        <w:rPr>
          <w:rFonts w:ascii="Tahoma" w:hAnsi="Tahoma" w:cs="Tahoma"/>
          <w:sz w:val="22"/>
          <w:szCs w:val="22"/>
        </w:rPr>
        <w:t xml:space="preserve">pótlás </w:t>
      </w:r>
      <w:proofErr w:type="spellStart"/>
      <w:r w:rsidRPr="00BF7C23">
        <w:rPr>
          <w:rFonts w:ascii="Tahoma" w:hAnsi="Tahoma" w:cs="Tahoma"/>
          <w:sz w:val="22"/>
          <w:szCs w:val="22"/>
        </w:rPr>
        <w:t>határidejének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meghosszabbítására nincs mód.</w:t>
      </w:r>
    </w:p>
    <w:p w14:paraId="37773D22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47117AB" w14:textId="77777777" w:rsidR="0028185D" w:rsidRPr="00BF7C23" w:rsidRDefault="0028185D" w:rsidP="0028185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benyújtott pályázatokat Szentes Város Képviselő-testülete bírálja el és hoz döntést, a mellette m</w:t>
      </w:r>
      <w:r w:rsidRPr="00BF7C23">
        <w:rPr>
          <w:rFonts w:ascii="Tahoma" w:hAnsi="Tahoma" w:cs="Tahoma"/>
          <w:sz w:val="22"/>
          <w:szCs w:val="22"/>
        </w:rPr>
        <w:t>ű</w:t>
      </w:r>
      <w:r w:rsidRPr="00BF7C23">
        <w:rPr>
          <w:rFonts w:ascii="Tahoma" w:hAnsi="Tahoma" w:cs="Tahoma"/>
          <w:sz w:val="22"/>
          <w:szCs w:val="22"/>
        </w:rPr>
        <w:t>ködő Tulajdonosi Bizottság javaslatát figyelembe véve.</w:t>
      </w:r>
    </w:p>
    <w:p w14:paraId="31A5DE8D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4357A28F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140431E7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7FFB183F" w14:textId="77777777" w:rsidR="0028185D" w:rsidRPr="00BF7C23" w:rsidRDefault="0028185D" w:rsidP="0028185D">
      <w:pPr>
        <w:jc w:val="both"/>
        <w:rPr>
          <w:rFonts w:ascii="Tahoma" w:hAnsi="Tahoma" w:cs="Tahoma"/>
          <w:sz w:val="22"/>
          <w:szCs w:val="22"/>
        </w:rPr>
      </w:pPr>
    </w:p>
    <w:p w14:paraId="5EDE24F7" w14:textId="77777777" w:rsidR="0028185D" w:rsidRPr="00BF7C23" w:rsidRDefault="0028185D" w:rsidP="0028185D"/>
    <w:p w14:paraId="1685C6BA" w14:textId="77777777" w:rsidR="00F23848" w:rsidRDefault="00F23848"/>
    <w:sectPr w:rsidR="00F23848" w:rsidSect="00793446">
      <w:pgSz w:w="11907" w:h="16840" w:code="9"/>
      <w:pgMar w:top="1021" w:right="1021" w:bottom="1021" w:left="1021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5D"/>
    <w:rsid w:val="0028185D"/>
    <w:rsid w:val="00F23848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2802CB"/>
  <w15:chartTrackingRefBased/>
  <w15:docId w15:val="{AADF119F-53FA-48CD-93A9-BDFF47F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185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8185D"/>
    <w:rPr>
      <w:color w:val="0000FF"/>
      <w:u w:val="single"/>
    </w:rPr>
  </w:style>
  <w:style w:type="paragraph" w:customStyle="1" w:styleId="CharCharCharCharCharCharCharCharChar">
    <w:name w:val="Char Char Char Char Char Char Char Char Char"/>
    <w:basedOn w:val="Norml"/>
    <w:rsid w:val="002818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entesinvest.hu" TargetMode="External"/><Relationship Id="rId4" Type="http://schemas.openxmlformats.org/officeDocument/2006/relationships/hyperlink" Target="mailto:bocskay@szent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7319</Characters>
  <Application>Microsoft Office Word</Application>
  <DocSecurity>0</DocSecurity>
  <Lines>60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Vérten Anita</dc:creator>
  <cp:keywords/>
  <dc:description/>
  <cp:lastModifiedBy>Vérten Anita</cp:lastModifiedBy>
  <cp:revision>1</cp:revision>
  <dcterms:created xsi:type="dcterms:W3CDTF">2020-10-12T13:41:00Z</dcterms:created>
  <dcterms:modified xsi:type="dcterms:W3CDTF">2020-10-12T13:41:00Z</dcterms:modified>
</cp:coreProperties>
</file>